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2" w:rsidRDefault="00636092" w:rsidP="00454A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2E12" w:rsidRPr="00964652" w:rsidRDefault="00C02E12" w:rsidP="001C551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143125" cy="890342"/>
            <wp:effectExtent l="19050" t="0" r="952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</w:t>
      </w:r>
      <w:r w:rsidR="001C551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</w:t>
      </w:r>
      <w:r w:rsidRPr="0026155F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</w:t>
      </w:r>
    </w:p>
    <w:p w:rsidR="00C02E12" w:rsidRPr="008B7673" w:rsidRDefault="00C02E12" w:rsidP="001C5517">
      <w:pPr>
        <w:spacing w:after="0" w:line="240" w:lineRule="auto"/>
        <w:ind w:firstLine="709"/>
        <w:jc w:val="right"/>
        <w:rPr>
          <w:rFonts w:ascii="Segoe UI" w:hAnsi="Segoe UI" w:cs="Segoe UI"/>
          <w:sz w:val="10"/>
          <w:szCs w:val="10"/>
        </w:rPr>
      </w:pPr>
    </w:p>
    <w:p w:rsidR="001C5517" w:rsidRDefault="00604262" w:rsidP="001C551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1C5517">
        <w:rPr>
          <w:rFonts w:ascii="Segoe UI" w:hAnsi="Segoe UI" w:cs="Segoe UI"/>
          <w:sz w:val="32"/>
          <w:szCs w:val="32"/>
        </w:rPr>
        <w:t xml:space="preserve">СВЕРДЛОВСКИЙ РОСРЕЕСТР </w:t>
      </w:r>
    </w:p>
    <w:p w:rsidR="00C02E12" w:rsidRDefault="00604262" w:rsidP="001C551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1C5517">
        <w:rPr>
          <w:rFonts w:ascii="Segoe UI" w:hAnsi="Segoe UI" w:cs="Segoe UI"/>
          <w:sz w:val="32"/>
          <w:szCs w:val="32"/>
        </w:rPr>
        <w:t>НАПОМИНАЕТ</w:t>
      </w:r>
      <w:r>
        <w:rPr>
          <w:rFonts w:ascii="Segoe UI" w:hAnsi="Segoe UI" w:cs="Segoe UI"/>
          <w:sz w:val="32"/>
          <w:szCs w:val="32"/>
        </w:rPr>
        <w:t xml:space="preserve"> </w:t>
      </w:r>
      <w:r w:rsidRPr="001C5517">
        <w:rPr>
          <w:rFonts w:ascii="Segoe UI" w:hAnsi="Segoe UI" w:cs="Segoe UI"/>
          <w:sz w:val="32"/>
          <w:szCs w:val="32"/>
        </w:rPr>
        <w:t>О</w:t>
      </w:r>
      <w:r>
        <w:rPr>
          <w:rFonts w:ascii="Segoe UI" w:hAnsi="Segoe UI" w:cs="Segoe UI"/>
          <w:sz w:val="32"/>
          <w:szCs w:val="32"/>
        </w:rPr>
        <w:t xml:space="preserve"> </w:t>
      </w:r>
      <w:r w:rsidRPr="001C5517">
        <w:rPr>
          <w:rFonts w:ascii="Segoe UI" w:hAnsi="Segoe UI" w:cs="Segoe UI"/>
          <w:sz w:val="32"/>
          <w:szCs w:val="32"/>
        </w:rPr>
        <w:t xml:space="preserve"> «ЛЕСНОЙ АМНИСТИИ»</w:t>
      </w:r>
    </w:p>
    <w:p w:rsidR="00C87703" w:rsidRPr="001C5517" w:rsidRDefault="00C87703" w:rsidP="001C5517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32"/>
          <w:szCs w:val="32"/>
        </w:rPr>
        <w:drawing>
          <wp:inline distT="0" distB="0" distL="0" distR="0">
            <wp:extent cx="2371725" cy="1801370"/>
            <wp:effectExtent l="19050" t="0" r="9525" b="0"/>
            <wp:docPr id="2" name="Рисунок 1" descr="C:\Users\ЗилаловаГП\Desktop\___СМИ\4_Пресс-релизы\_2019\ОКТЯБРЬ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лаловаГП\Desktop\___СМИ\4_Пресс-релизы\_2019\ОКТЯБРЬ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89" cy="180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5B5" w:rsidRDefault="00F745B5" w:rsidP="001C5517">
      <w:pPr>
        <w:spacing w:after="0"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</w:p>
    <w:p w:rsidR="004D5DF6" w:rsidRPr="003B5069" w:rsidRDefault="00C030ED" w:rsidP="003D5024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B5069">
        <w:rPr>
          <w:rFonts w:ascii="Segoe UI" w:hAnsi="Segoe UI" w:cs="Segoe UI"/>
          <w:color w:val="000000" w:themeColor="text1"/>
          <w:sz w:val="24"/>
          <w:szCs w:val="24"/>
        </w:rPr>
        <w:t xml:space="preserve">В </w:t>
      </w:r>
      <w:r w:rsidR="004D5DF6" w:rsidRPr="003B5069">
        <w:rPr>
          <w:rFonts w:ascii="Segoe UI" w:hAnsi="Segoe UI" w:cs="Segoe UI"/>
          <w:color w:val="000000" w:themeColor="text1"/>
          <w:sz w:val="24"/>
          <w:szCs w:val="24"/>
        </w:rPr>
        <w:t xml:space="preserve">Свердловской области </w:t>
      </w:r>
      <w:r w:rsidR="00D42AF0" w:rsidRPr="003B5069">
        <w:rPr>
          <w:rFonts w:ascii="Segoe UI" w:hAnsi="Segoe UI" w:cs="Segoe UI"/>
          <w:color w:val="000000" w:themeColor="text1"/>
          <w:sz w:val="24"/>
          <w:szCs w:val="24"/>
        </w:rPr>
        <w:t xml:space="preserve">уделяется особое внимание </w:t>
      </w:r>
      <w:r w:rsidR="004D5DF6" w:rsidRPr="003B5069">
        <w:rPr>
          <w:rFonts w:ascii="Segoe UI" w:hAnsi="Segoe UI" w:cs="Segoe UI"/>
          <w:color w:val="000000" w:themeColor="text1"/>
          <w:sz w:val="24"/>
          <w:szCs w:val="24"/>
        </w:rPr>
        <w:t xml:space="preserve">реализации Федерального закона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который называют законом о «Лесной амнистии». </w:t>
      </w:r>
    </w:p>
    <w:p w:rsidR="00C971BC" w:rsidRPr="003B5069" w:rsidRDefault="00C971BC" w:rsidP="001C5517">
      <w:pPr>
        <w:spacing w:after="0" w:line="240" w:lineRule="auto"/>
        <w:ind w:firstLine="36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C971BC" w:rsidRPr="003B5069" w:rsidRDefault="00C971BC" w:rsidP="003D5024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rFonts w:ascii="Segoe UI" w:hAnsi="Segoe UI" w:cs="Segoe UI"/>
          <w:color w:val="000000"/>
        </w:rPr>
      </w:pPr>
      <w:r w:rsidRPr="003B5069">
        <w:rPr>
          <w:rFonts w:ascii="Segoe UI" w:hAnsi="Segoe UI" w:cs="Segoe UI"/>
          <w:color w:val="000000"/>
        </w:rPr>
        <w:t>В компетенцию Росреестра при реализации закона о « Лесной амни</w:t>
      </w:r>
      <w:r w:rsidR="0039771F">
        <w:rPr>
          <w:rFonts w:ascii="Segoe UI" w:hAnsi="Segoe UI" w:cs="Segoe UI"/>
          <w:color w:val="000000"/>
        </w:rPr>
        <w:t>с</w:t>
      </w:r>
      <w:r w:rsidRPr="003B5069">
        <w:rPr>
          <w:rFonts w:ascii="Segoe UI" w:hAnsi="Segoe UI" w:cs="Segoe UI"/>
          <w:color w:val="000000"/>
        </w:rPr>
        <w:t xml:space="preserve">тии» входит применение статьи 60.2 </w:t>
      </w:r>
      <w:r w:rsidR="00342989">
        <w:rPr>
          <w:rFonts w:ascii="Segoe UI" w:hAnsi="Segoe UI" w:cs="Segoe UI"/>
          <w:color w:val="000000"/>
        </w:rPr>
        <w:t>Ф</w:t>
      </w:r>
      <w:r w:rsidRPr="003B5069">
        <w:rPr>
          <w:rFonts w:ascii="Segoe UI" w:hAnsi="Segoe UI" w:cs="Segoe UI"/>
          <w:color w:val="000000"/>
        </w:rPr>
        <w:t>едерального закона</w:t>
      </w:r>
      <w:r w:rsidR="00342989">
        <w:rPr>
          <w:rFonts w:ascii="Segoe UI" w:hAnsi="Segoe UI" w:cs="Segoe UI"/>
          <w:color w:val="000000"/>
        </w:rPr>
        <w:t xml:space="preserve"> от 13.07.2015 № 218-ФЗ</w:t>
      </w:r>
      <w:r w:rsidRPr="003B5069">
        <w:rPr>
          <w:rFonts w:ascii="Segoe UI" w:hAnsi="Segoe UI" w:cs="Segoe UI"/>
          <w:color w:val="000000"/>
        </w:rPr>
        <w:t xml:space="preserve"> «О государственной регистрации недвижимости» (Закон о регистрации), введенной законом № 280-ФЗ.  </w:t>
      </w:r>
    </w:p>
    <w:p w:rsidR="00B00EEE" w:rsidRDefault="00C971BC" w:rsidP="003D5024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rFonts w:ascii="Segoe UI" w:hAnsi="Segoe UI" w:cs="Segoe UI"/>
          <w:color w:val="000000"/>
        </w:rPr>
      </w:pPr>
      <w:r w:rsidRPr="003B5069">
        <w:rPr>
          <w:rFonts w:ascii="Segoe UI" w:hAnsi="Segoe UI" w:cs="Segoe UI"/>
          <w:color w:val="000000"/>
        </w:rPr>
        <w:t>В частности, на основании статьи 60.2 Закона о регистрации Управление Росреестра по Свердловской области (далее - Управление) в плановом порядке проводит работу по выявлению и устранению в Едином государственном реестре недвижимости (ЕГРН) пересечений границ лесных участков между собой или с границами земельных участков других категорий земель. На основании этого проводится поэтапный анализ сведений ЕГРН по кадастровым кварталам, что позволяет значительно сократить срок, установленный федеральным законом №280-ФЗ для ее проведения. </w:t>
      </w:r>
    </w:p>
    <w:p w:rsidR="00D61BF4" w:rsidRPr="003D5024" w:rsidRDefault="00D61BF4" w:rsidP="003D5024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При выявлении пересечений с лесным фондом заинтересованные лица могут обращаться в Управление с заявлением и межевым планом</w:t>
      </w:r>
      <w:r w:rsidR="003D5024">
        <w:rPr>
          <w:rFonts w:ascii="Segoe UI" w:hAnsi="Segoe UI" w:cs="Segoe UI"/>
        </w:rPr>
        <w:t xml:space="preserve"> через </w:t>
      </w:r>
      <w:r>
        <w:rPr>
          <w:rFonts w:ascii="Segoe UI" w:hAnsi="Segoe UI" w:cs="Segoe UI"/>
        </w:rPr>
        <w:t>МФЦ</w:t>
      </w:r>
      <w:r w:rsidR="003D5024">
        <w:rPr>
          <w:rFonts w:ascii="Segoe UI" w:hAnsi="Segoe UI" w:cs="Segoe UI"/>
        </w:rPr>
        <w:t>.</w:t>
      </w:r>
    </w:p>
    <w:p w:rsidR="00654970" w:rsidRPr="00D61BF4" w:rsidRDefault="00D61BF4" w:rsidP="003D5024">
      <w:pPr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00EEE">
        <w:rPr>
          <w:rFonts w:ascii="Segoe UI" w:hAnsi="Segoe UI" w:cs="Segoe UI"/>
          <w:sz w:val="24"/>
          <w:szCs w:val="24"/>
        </w:rPr>
        <w:t xml:space="preserve">При поступлении документов в Управление и выявлении пересечения границ с лесным участком, сведения о котором содержатся </w:t>
      </w:r>
      <w:r w:rsidR="0055328D">
        <w:rPr>
          <w:rFonts w:ascii="Segoe UI" w:hAnsi="Segoe UI" w:cs="Segoe UI"/>
          <w:sz w:val="24"/>
          <w:szCs w:val="24"/>
        </w:rPr>
        <w:t xml:space="preserve">в </w:t>
      </w:r>
      <w:r w:rsidRPr="00B00EEE">
        <w:rPr>
          <w:rFonts w:ascii="Segoe UI" w:hAnsi="Segoe UI" w:cs="Segoe UI"/>
          <w:sz w:val="24"/>
          <w:szCs w:val="24"/>
        </w:rPr>
        <w:t>ЕГРН, Управление самостоятельно, без взимания платы с заявителя, устраняет пересечения границ участков в ЕГРН.  </w:t>
      </w:r>
    </w:p>
    <w:p w:rsidR="0090582C" w:rsidRDefault="0090582C" w:rsidP="003D5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B5069">
        <w:rPr>
          <w:rFonts w:ascii="Segoe UI" w:hAnsi="Segoe UI" w:cs="Segoe UI"/>
          <w:sz w:val="24"/>
          <w:szCs w:val="24"/>
        </w:rPr>
        <w:t xml:space="preserve">Так, при </w:t>
      </w:r>
      <w:r w:rsidRPr="003B5069">
        <w:rPr>
          <w:rFonts w:ascii="Segoe UI" w:hAnsi="Segoe UI" w:cs="Segoe UI"/>
          <w:bCs/>
          <w:sz w:val="24"/>
          <w:szCs w:val="24"/>
        </w:rPr>
        <w:t xml:space="preserve">рассмотрении заявления о </w:t>
      </w:r>
      <w:r w:rsidR="00342989">
        <w:rPr>
          <w:rFonts w:ascii="Segoe UI" w:hAnsi="Segoe UI" w:cs="Segoe UI"/>
          <w:bCs/>
          <w:sz w:val="24"/>
          <w:szCs w:val="24"/>
        </w:rPr>
        <w:t>государственном кадастровом учете</w:t>
      </w:r>
      <w:r w:rsidRPr="003B5069">
        <w:rPr>
          <w:rFonts w:ascii="Segoe UI" w:hAnsi="Segoe UI" w:cs="Segoe UI"/>
          <w:bCs/>
          <w:sz w:val="24"/>
          <w:szCs w:val="24"/>
        </w:rPr>
        <w:t xml:space="preserve"> земельного участка выявлено пересечение его границ с границами лесного участка, орган регистрации прав </w:t>
      </w:r>
      <w:r w:rsidRPr="003B5069">
        <w:rPr>
          <w:rFonts w:ascii="Segoe UI" w:hAnsi="Segoe UI" w:cs="Segoe UI"/>
          <w:sz w:val="24"/>
          <w:szCs w:val="24"/>
        </w:rPr>
        <w:t xml:space="preserve">вносит в ЕГРН изменения описания местоположения границ и площади лесного участка в целях приведения их в соответствие с описанием местоположения границ, содержащимся в межевом плане земельного участка, </w:t>
      </w:r>
      <w:r w:rsidRPr="003B5069">
        <w:rPr>
          <w:rFonts w:ascii="Segoe UI" w:hAnsi="Segoe UI" w:cs="Segoe UI"/>
          <w:sz w:val="24"/>
          <w:szCs w:val="24"/>
        </w:rPr>
        <w:lastRenderedPageBreak/>
        <w:t>представленном вместе с заявлением о государственном кадастровом учете в связи с уточнением границ земельного участка, если право возникло до 01.01.2016</w:t>
      </w:r>
      <w:r w:rsidR="0055328D">
        <w:rPr>
          <w:rFonts w:ascii="Segoe UI" w:hAnsi="Segoe UI" w:cs="Segoe UI"/>
          <w:sz w:val="24"/>
          <w:szCs w:val="24"/>
        </w:rPr>
        <w:t>г.</w:t>
      </w:r>
      <w:r w:rsidRPr="003B5069">
        <w:rPr>
          <w:rFonts w:ascii="Segoe UI" w:hAnsi="Segoe UI" w:cs="Segoe UI"/>
          <w:sz w:val="24"/>
          <w:szCs w:val="24"/>
        </w:rPr>
        <w:t xml:space="preserve"> и до даты внесения в ЕГРН сведений о границах лесного </w:t>
      </w:r>
      <w:r w:rsidR="00654970">
        <w:rPr>
          <w:rFonts w:ascii="Segoe UI" w:hAnsi="Segoe UI" w:cs="Segoe UI"/>
          <w:sz w:val="24"/>
          <w:szCs w:val="24"/>
        </w:rPr>
        <w:t>участка.</w:t>
      </w:r>
    </w:p>
    <w:p w:rsidR="00654970" w:rsidRPr="003B5069" w:rsidRDefault="00654970" w:rsidP="009058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0582C" w:rsidRPr="003B5069" w:rsidRDefault="00342989" w:rsidP="00654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необходимо отметить, что </w:t>
      </w:r>
      <w:r w:rsidR="0090582C" w:rsidRPr="003B5069">
        <w:rPr>
          <w:rFonts w:ascii="Segoe UI" w:hAnsi="Segoe UI" w:cs="Segoe UI"/>
          <w:sz w:val="24"/>
          <w:szCs w:val="24"/>
        </w:rPr>
        <w:t>если земельный участок предоставлен до 08.08.2008</w:t>
      </w:r>
      <w:r w:rsidR="003D5024">
        <w:rPr>
          <w:rFonts w:ascii="Segoe UI" w:hAnsi="Segoe UI" w:cs="Segoe UI"/>
          <w:sz w:val="24"/>
          <w:szCs w:val="24"/>
        </w:rPr>
        <w:t>г.</w:t>
      </w:r>
      <w:r w:rsidR="0090582C" w:rsidRPr="003B5069">
        <w:rPr>
          <w:rFonts w:ascii="Segoe UI" w:hAnsi="Segoe UI" w:cs="Segoe UI"/>
          <w:sz w:val="24"/>
          <w:szCs w:val="24"/>
        </w:rPr>
        <w:t xml:space="preserve"> и предназначен для ведения садоводства, огородничества, дачного хозяйства, личного подсобного хозяйства или индивидуального жилищного строительства, то до 01.01.2023</w:t>
      </w:r>
      <w:r w:rsidR="003D5024">
        <w:rPr>
          <w:rFonts w:ascii="Segoe UI" w:hAnsi="Segoe UI" w:cs="Segoe UI"/>
          <w:sz w:val="24"/>
          <w:szCs w:val="24"/>
        </w:rPr>
        <w:t>г.</w:t>
      </w:r>
      <w:r w:rsidR="0090582C" w:rsidRPr="003B5069">
        <w:rPr>
          <w:rFonts w:ascii="Segoe UI" w:hAnsi="Segoe UI" w:cs="Segoe UI"/>
          <w:sz w:val="24"/>
          <w:szCs w:val="24"/>
        </w:rPr>
        <w:t xml:space="preserve"> согласовани</w:t>
      </w:r>
      <w:r>
        <w:rPr>
          <w:rFonts w:ascii="Segoe UI" w:hAnsi="Segoe UI" w:cs="Segoe UI"/>
          <w:sz w:val="24"/>
          <w:szCs w:val="24"/>
        </w:rPr>
        <w:t>е</w:t>
      </w:r>
      <w:r w:rsidR="0090582C" w:rsidRPr="003B5069">
        <w:rPr>
          <w:rFonts w:ascii="Segoe UI" w:hAnsi="Segoe UI" w:cs="Segoe UI"/>
          <w:sz w:val="24"/>
          <w:szCs w:val="24"/>
        </w:rPr>
        <w:t xml:space="preserve"> с земельным участком лесного фонда не требуется.</w:t>
      </w:r>
    </w:p>
    <w:p w:rsidR="0090582C" w:rsidRPr="003B5069" w:rsidRDefault="0090582C" w:rsidP="009058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B00EEE" w:rsidRDefault="00B00EEE" w:rsidP="00D50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</w:t>
      </w:r>
      <w:r w:rsidR="003D5024">
        <w:rPr>
          <w:rFonts w:ascii="Segoe UI" w:hAnsi="Segoe UI" w:cs="Segoe UI"/>
          <w:sz w:val="24"/>
          <w:szCs w:val="24"/>
        </w:rPr>
        <w:t xml:space="preserve"> «Л</w:t>
      </w:r>
      <w:r w:rsidR="00710EAA">
        <w:rPr>
          <w:rFonts w:ascii="Segoe UI" w:hAnsi="Segoe UI" w:cs="Segoe UI"/>
          <w:sz w:val="24"/>
          <w:szCs w:val="24"/>
        </w:rPr>
        <w:t>есная</w:t>
      </w:r>
      <w:r>
        <w:rPr>
          <w:rFonts w:ascii="Segoe UI" w:hAnsi="Segoe UI" w:cs="Segoe UI"/>
          <w:sz w:val="24"/>
          <w:szCs w:val="24"/>
        </w:rPr>
        <w:t xml:space="preserve"> амнистия</w:t>
      </w:r>
      <w:r w:rsidR="003D5024">
        <w:rPr>
          <w:rFonts w:ascii="Segoe UI" w:hAnsi="Segoe UI" w:cs="Segoe UI"/>
          <w:sz w:val="24"/>
          <w:szCs w:val="24"/>
        </w:rPr>
        <w:t>»</w:t>
      </w:r>
      <w:r>
        <w:rPr>
          <w:rFonts w:ascii="Segoe UI" w:hAnsi="Segoe UI" w:cs="Segoe UI"/>
          <w:sz w:val="24"/>
          <w:szCs w:val="24"/>
        </w:rPr>
        <w:t xml:space="preserve"> распространяется на земельные участки образуемые под объектами недвижимости, право на которые возникло до 01.01.2016</w:t>
      </w:r>
      <w:r w:rsidR="003D5024">
        <w:rPr>
          <w:rFonts w:ascii="Segoe UI" w:hAnsi="Segoe UI" w:cs="Segoe UI"/>
          <w:sz w:val="24"/>
          <w:szCs w:val="24"/>
        </w:rPr>
        <w:t>г</w:t>
      </w:r>
      <w:r>
        <w:rPr>
          <w:rFonts w:ascii="Segoe UI" w:hAnsi="Segoe UI" w:cs="Segoe UI"/>
          <w:sz w:val="24"/>
          <w:szCs w:val="24"/>
        </w:rPr>
        <w:t>. То есть, если лицу принадлежит жилой дом, право на который зарегистрировано до указанной даты, правообладатель такого объекта недвижимости вправе оформить земельный участок под таким жилым домом. Для этого лицо обращается в орган исполнительного власти субъекта РФ уполномоченный в области лесных отношений (Министерство природных ресурсов Свердловской области) с целью подготовки схемы расположения земельного участка на кадастровом плане территории с категорией отличной от категории земель лесного фонда.</w:t>
      </w:r>
    </w:p>
    <w:p w:rsidR="00B00EEE" w:rsidRDefault="00B00EEE" w:rsidP="0090582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iCs/>
          <w:sz w:val="24"/>
          <w:szCs w:val="24"/>
        </w:rPr>
      </w:pPr>
    </w:p>
    <w:p w:rsidR="0090582C" w:rsidRPr="00125790" w:rsidRDefault="00990B2B" w:rsidP="00D50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Необходимо обратить внимание на то, что Управление вправе изменить в ЕГРН сведения о категории земель лесного фонда у земельного участка с видом разрешенного использования: для ведения садоводства, огородничества, дачного хозяйства, личного подсобного хозяйства или индивидуального жилищного строительства. Если земельный участок расположен в границах населенного пункта категория «земли лесного фонда» изменяется на «земли населенных пунктов». В ином случае – категория «земли лесного фонда» изменяется на «земли сельскохозяйственного назначения». При этом принятие какого-либо акта о переводе земельного участка из категории в категорию не требуется в случае когда такой участок был предоставлен до 08.08.2008</w:t>
      </w:r>
      <w:r w:rsidR="00D50A8C">
        <w:rPr>
          <w:rFonts w:ascii="Segoe UI" w:hAnsi="Segoe UI" w:cs="Segoe UI"/>
          <w:sz w:val="24"/>
          <w:szCs w:val="24"/>
        </w:rPr>
        <w:t>г.</w:t>
      </w:r>
    </w:p>
    <w:p w:rsidR="00C02E12" w:rsidRPr="00EE6096" w:rsidRDefault="00C02E12" w:rsidP="00C02E12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1C5517" w:rsidRDefault="00D61399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noProof/>
          <w:lang w:eastAsia="sk-SK"/>
        </w:rPr>
      </w:pPr>
      <w:r w:rsidRPr="00D61399">
        <w:rPr>
          <w:rFonts w:eastAsia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2.0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  <w:r w:rsidR="001C5517">
        <w:rPr>
          <w:rFonts w:ascii="Segoe UI" w:eastAsia="Times New Roman" w:hAnsi="Segoe UI" w:cs="Segoe UI"/>
          <w:b/>
          <w:noProof/>
          <w:lang w:eastAsia="sk-SK"/>
        </w:rPr>
        <w:t xml:space="preserve">      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>
        <w:rPr>
          <w:rFonts w:ascii="Segoe UI" w:eastAsia="Times New Roman" w:hAnsi="Segoe UI" w:cs="Segoe UI"/>
          <w:b/>
          <w:noProof/>
          <w:lang w:eastAsia="sk-SK"/>
        </w:rPr>
        <w:t xml:space="preserve">  </w:t>
      </w: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eastAsia="Times New Roman" w:hAnsi="Segoe UI" w:cs="Segoe UI"/>
          <w:sz w:val="18"/>
          <w:szCs w:val="18"/>
        </w:rPr>
        <w:t>Управлени</w:t>
      </w:r>
      <w:r>
        <w:rPr>
          <w:rFonts w:ascii="Segoe UI" w:eastAsia="Times New Roman" w:hAnsi="Segoe UI" w:cs="Segoe UI"/>
          <w:sz w:val="18"/>
          <w:szCs w:val="18"/>
        </w:rPr>
        <w:t>я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 Росреестра по Свердловской области </w:t>
      </w:r>
    </w:p>
    <w:p w:rsidR="001C5517" w:rsidRPr="00354DF2" w:rsidRDefault="001C5517" w:rsidP="001C551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354DF2">
        <w:rPr>
          <w:rFonts w:ascii="Segoe UI" w:eastAsia="Times New Roman" w:hAnsi="Segoe UI" w:cs="Segoe UI"/>
          <w:sz w:val="18"/>
          <w:szCs w:val="18"/>
        </w:rPr>
        <w:t>Зилалова</w:t>
      </w:r>
      <w:proofErr w:type="spellEnd"/>
      <w:r w:rsidRPr="00354DF2">
        <w:rPr>
          <w:rFonts w:ascii="Segoe UI" w:eastAsia="Times New Roman" w:hAnsi="Segoe UI" w:cs="Segoe UI"/>
          <w:sz w:val="18"/>
          <w:szCs w:val="18"/>
        </w:rPr>
        <w:t xml:space="preserve"> Галина Петровна, 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proofErr w:type="spellStart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>эл</w:t>
      </w:r>
      <w:proofErr w:type="spellEnd"/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. почта: </w:t>
      </w:r>
      <w:hyperlink r:id="rId8" w:history="1">
        <w:r w:rsidRPr="00354DF2">
          <w:rPr>
            <w:rStyle w:val="a4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4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1C5517" w:rsidRDefault="001C5517" w:rsidP="001C55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B41" w:rsidRDefault="002C6B41" w:rsidP="00BC4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14" w:rsidRPr="00125790" w:rsidRDefault="00BC4514" w:rsidP="00BC4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B3" w:rsidRPr="00125790" w:rsidRDefault="00C432B3" w:rsidP="00BC4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B3" w:rsidRPr="00125790" w:rsidRDefault="00C432B3" w:rsidP="00BC4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ED" w:rsidRDefault="00C030ED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lang w:eastAsia="sk-SK"/>
        </w:rPr>
      </w:pPr>
    </w:p>
    <w:sectPr w:rsidR="00C030ED" w:rsidSect="001C5517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DB"/>
    <w:multiLevelType w:val="hybridMultilevel"/>
    <w:tmpl w:val="FDF41496"/>
    <w:lvl w:ilvl="0" w:tplc="77BCC4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92688E"/>
    <w:multiLevelType w:val="hybridMultilevel"/>
    <w:tmpl w:val="DFF4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1B4E"/>
    <w:multiLevelType w:val="hybridMultilevel"/>
    <w:tmpl w:val="94C4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0ADB"/>
    <w:multiLevelType w:val="hybridMultilevel"/>
    <w:tmpl w:val="B20851AC"/>
    <w:lvl w:ilvl="0" w:tplc="99A85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44D5D"/>
    <w:multiLevelType w:val="hybridMultilevel"/>
    <w:tmpl w:val="47E8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63846"/>
    <w:multiLevelType w:val="hybridMultilevel"/>
    <w:tmpl w:val="B9903716"/>
    <w:lvl w:ilvl="0" w:tplc="0CFC6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875BD"/>
    <w:multiLevelType w:val="hybridMultilevel"/>
    <w:tmpl w:val="DCAE9396"/>
    <w:lvl w:ilvl="0" w:tplc="473410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499"/>
    <w:rsid w:val="0003385F"/>
    <w:rsid w:val="00034CBC"/>
    <w:rsid w:val="0004366E"/>
    <w:rsid w:val="00071248"/>
    <w:rsid w:val="000853BA"/>
    <w:rsid w:val="000B18E3"/>
    <w:rsid w:val="000E2FEE"/>
    <w:rsid w:val="00124E73"/>
    <w:rsid w:val="00132D5A"/>
    <w:rsid w:val="00140EE4"/>
    <w:rsid w:val="00147A29"/>
    <w:rsid w:val="0017703F"/>
    <w:rsid w:val="0018447E"/>
    <w:rsid w:val="0018562D"/>
    <w:rsid w:val="00194532"/>
    <w:rsid w:val="001B1CF9"/>
    <w:rsid w:val="001B232E"/>
    <w:rsid w:val="001B30EE"/>
    <w:rsid w:val="001B6F5E"/>
    <w:rsid w:val="001C02EA"/>
    <w:rsid w:val="001C5517"/>
    <w:rsid w:val="001D384C"/>
    <w:rsid w:val="001D4EBF"/>
    <w:rsid w:val="001D7C4D"/>
    <w:rsid w:val="001E7764"/>
    <w:rsid w:val="00203279"/>
    <w:rsid w:val="00237A6A"/>
    <w:rsid w:val="00241E72"/>
    <w:rsid w:val="00280B1B"/>
    <w:rsid w:val="0028363A"/>
    <w:rsid w:val="002B2037"/>
    <w:rsid w:val="002B4BB9"/>
    <w:rsid w:val="002C54C7"/>
    <w:rsid w:val="002C6B41"/>
    <w:rsid w:val="002E34A7"/>
    <w:rsid w:val="00342989"/>
    <w:rsid w:val="00345FE0"/>
    <w:rsid w:val="00363208"/>
    <w:rsid w:val="00371DB6"/>
    <w:rsid w:val="00377B21"/>
    <w:rsid w:val="00384249"/>
    <w:rsid w:val="00395C0E"/>
    <w:rsid w:val="0039771F"/>
    <w:rsid w:val="003A35BC"/>
    <w:rsid w:val="003A56EA"/>
    <w:rsid w:val="003A7F3F"/>
    <w:rsid w:val="003B5069"/>
    <w:rsid w:val="003B5549"/>
    <w:rsid w:val="003D36CC"/>
    <w:rsid w:val="003D5024"/>
    <w:rsid w:val="003D74BD"/>
    <w:rsid w:val="003E75A6"/>
    <w:rsid w:val="004044D6"/>
    <w:rsid w:val="004045AB"/>
    <w:rsid w:val="00420FCC"/>
    <w:rsid w:val="00454ADC"/>
    <w:rsid w:val="00471750"/>
    <w:rsid w:val="00473B1B"/>
    <w:rsid w:val="00474777"/>
    <w:rsid w:val="00482F7C"/>
    <w:rsid w:val="004A56FA"/>
    <w:rsid w:val="004B795E"/>
    <w:rsid w:val="004D5DF6"/>
    <w:rsid w:val="0050431F"/>
    <w:rsid w:val="005167B0"/>
    <w:rsid w:val="00516D78"/>
    <w:rsid w:val="005175CE"/>
    <w:rsid w:val="00544B19"/>
    <w:rsid w:val="0055328D"/>
    <w:rsid w:val="00595513"/>
    <w:rsid w:val="005A035F"/>
    <w:rsid w:val="005B2281"/>
    <w:rsid w:val="005C616D"/>
    <w:rsid w:val="005D35DC"/>
    <w:rsid w:val="005E1932"/>
    <w:rsid w:val="005E3124"/>
    <w:rsid w:val="00604262"/>
    <w:rsid w:val="0061630D"/>
    <w:rsid w:val="00627CDE"/>
    <w:rsid w:val="00636092"/>
    <w:rsid w:val="00637ED1"/>
    <w:rsid w:val="006413C1"/>
    <w:rsid w:val="00642C69"/>
    <w:rsid w:val="00645E75"/>
    <w:rsid w:val="00654970"/>
    <w:rsid w:val="0068300A"/>
    <w:rsid w:val="00686507"/>
    <w:rsid w:val="006937CE"/>
    <w:rsid w:val="006B393C"/>
    <w:rsid w:val="007003CA"/>
    <w:rsid w:val="007064F3"/>
    <w:rsid w:val="00707B94"/>
    <w:rsid w:val="00710EAA"/>
    <w:rsid w:val="0073491F"/>
    <w:rsid w:val="00735808"/>
    <w:rsid w:val="00740F37"/>
    <w:rsid w:val="00763292"/>
    <w:rsid w:val="00766F70"/>
    <w:rsid w:val="00776067"/>
    <w:rsid w:val="00791ED4"/>
    <w:rsid w:val="007A36BD"/>
    <w:rsid w:val="007A398E"/>
    <w:rsid w:val="007B714C"/>
    <w:rsid w:val="007C0D0A"/>
    <w:rsid w:val="007C6D46"/>
    <w:rsid w:val="007E5A72"/>
    <w:rsid w:val="007F428C"/>
    <w:rsid w:val="00824815"/>
    <w:rsid w:val="0083178A"/>
    <w:rsid w:val="00842F16"/>
    <w:rsid w:val="008460B3"/>
    <w:rsid w:val="008557AB"/>
    <w:rsid w:val="0085706D"/>
    <w:rsid w:val="008775B5"/>
    <w:rsid w:val="00887177"/>
    <w:rsid w:val="008B356C"/>
    <w:rsid w:val="008D168C"/>
    <w:rsid w:val="008D3575"/>
    <w:rsid w:val="008D74DF"/>
    <w:rsid w:val="008E3075"/>
    <w:rsid w:val="0090031A"/>
    <w:rsid w:val="0090582C"/>
    <w:rsid w:val="00910516"/>
    <w:rsid w:val="00917AA0"/>
    <w:rsid w:val="00946596"/>
    <w:rsid w:val="00990B2B"/>
    <w:rsid w:val="009A7D2D"/>
    <w:rsid w:val="009D772A"/>
    <w:rsid w:val="00A0574A"/>
    <w:rsid w:val="00A07D3F"/>
    <w:rsid w:val="00A236B1"/>
    <w:rsid w:val="00A271E6"/>
    <w:rsid w:val="00A416AF"/>
    <w:rsid w:val="00A41E40"/>
    <w:rsid w:val="00A420A8"/>
    <w:rsid w:val="00A56BD7"/>
    <w:rsid w:val="00A67402"/>
    <w:rsid w:val="00A6752A"/>
    <w:rsid w:val="00A702A9"/>
    <w:rsid w:val="00A76E99"/>
    <w:rsid w:val="00A775D1"/>
    <w:rsid w:val="00AA5D5F"/>
    <w:rsid w:val="00AB766F"/>
    <w:rsid w:val="00AD1007"/>
    <w:rsid w:val="00AD40F0"/>
    <w:rsid w:val="00AE435F"/>
    <w:rsid w:val="00B00EEE"/>
    <w:rsid w:val="00B04C03"/>
    <w:rsid w:val="00B0581C"/>
    <w:rsid w:val="00B24CCD"/>
    <w:rsid w:val="00B30E47"/>
    <w:rsid w:val="00B339C8"/>
    <w:rsid w:val="00B36524"/>
    <w:rsid w:val="00B407CA"/>
    <w:rsid w:val="00B57499"/>
    <w:rsid w:val="00B7696E"/>
    <w:rsid w:val="00B87726"/>
    <w:rsid w:val="00BB4CD8"/>
    <w:rsid w:val="00BC4514"/>
    <w:rsid w:val="00BC65A4"/>
    <w:rsid w:val="00BF69BA"/>
    <w:rsid w:val="00C02E12"/>
    <w:rsid w:val="00C030ED"/>
    <w:rsid w:val="00C10F77"/>
    <w:rsid w:val="00C42B4D"/>
    <w:rsid w:val="00C432B3"/>
    <w:rsid w:val="00C50CA7"/>
    <w:rsid w:val="00C6113C"/>
    <w:rsid w:val="00C70DD5"/>
    <w:rsid w:val="00C73808"/>
    <w:rsid w:val="00C804B9"/>
    <w:rsid w:val="00C8357F"/>
    <w:rsid w:val="00C87703"/>
    <w:rsid w:val="00C971BC"/>
    <w:rsid w:val="00CB75A4"/>
    <w:rsid w:val="00CF6296"/>
    <w:rsid w:val="00D07998"/>
    <w:rsid w:val="00D31897"/>
    <w:rsid w:val="00D415C1"/>
    <w:rsid w:val="00D42AF0"/>
    <w:rsid w:val="00D507DE"/>
    <w:rsid w:val="00D50A8C"/>
    <w:rsid w:val="00D521F8"/>
    <w:rsid w:val="00D61399"/>
    <w:rsid w:val="00D61BF4"/>
    <w:rsid w:val="00D62CC2"/>
    <w:rsid w:val="00D63C00"/>
    <w:rsid w:val="00D65B82"/>
    <w:rsid w:val="00D81B5B"/>
    <w:rsid w:val="00D971F2"/>
    <w:rsid w:val="00DD020C"/>
    <w:rsid w:val="00DD1B4C"/>
    <w:rsid w:val="00DF5A27"/>
    <w:rsid w:val="00E0170B"/>
    <w:rsid w:val="00E07034"/>
    <w:rsid w:val="00E25786"/>
    <w:rsid w:val="00E32154"/>
    <w:rsid w:val="00E429D5"/>
    <w:rsid w:val="00E653F8"/>
    <w:rsid w:val="00E82494"/>
    <w:rsid w:val="00EB7D1E"/>
    <w:rsid w:val="00EC3D05"/>
    <w:rsid w:val="00EC4FD3"/>
    <w:rsid w:val="00ED3466"/>
    <w:rsid w:val="00ED728F"/>
    <w:rsid w:val="00F174C4"/>
    <w:rsid w:val="00F4574B"/>
    <w:rsid w:val="00F46AEE"/>
    <w:rsid w:val="00F745B5"/>
    <w:rsid w:val="00F85829"/>
    <w:rsid w:val="00F93CA2"/>
    <w:rsid w:val="00F9627B"/>
    <w:rsid w:val="00F97C47"/>
    <w:rsid w:val="00FA6E71"/>
    <w:rsid w:val="00FF5A2B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2A"/>
    <w:pPr>
      <w:ind w:left="720"/>
      <w:contextualSpacing/>
    </w:pPr>
  </w:style>
  <w:style w:type="character" w:customStyle="1" w:styleId="apple-converted-space">
    <w:name w:val="apple-converted-space"/>
    <w:basedOn w:val="a0"/>
    <w:rsid w:val="001D384C"/>
  </w:style>
  <w:style w:type="character" w:styleId="a4">
    <w:name w:val="Hyperlink"/>
    <w:uiPriority w:val="99"/>
    <w:unhideWhenUsed/>
    <w:rsid w:val="00C02E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5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rs6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481E-1643-416B-B16B-A3BDB6A0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семкинаив</dc:creator>
  <cp:lastModifiedBy>Администратор</cp:lastModifiedBy>
  <cp:revision>2</cp:revision>
  <cp:lastPrinted>2019-10-02T05:50:00Z</cp:lastPrinted>
  <dcterms:created xsi:type="dcterms:W3CDTF">2019-10-21T05:27:00Z</dcterms:created>
  <dcterms:modified xsi:type="dcterms:W3CDTF">2019-10-21T05:27:00Z</dcterms:modified>
</cp:coreProperties>
</file>