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1DF" w14:textId="77777777"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bookmarkStart w:id="0" w:name="_GoBack"/>
      <w:bookmarkEnd w:id="0"/>
      <w:r w:rsidRPr="00D918F6">
        <w:rPr>
          <w:rFonts w:ascii="Liberation Serif" w:hAnsi="Liberation Serif" w:cs="Liberation Serif"/>
          <w:b/>
          <w:szCs w:val="28"/>
        </w:rPr>
        <w:t xml:space="preserve">Информация об особенностях приёмки и оплаты работ </w:t>
      </w:r>
    </w:p>
    <w:p w14:paraId="2BC88351" w14:textId="77777777"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D918F6">
        <w:rPr>
          <w:rFonts w:ascii="Liberation Serif" w:hAnsi="Liberation Serif" w:cs="Liberation Serif"/>
          <w:b/>
          <w:szCs w:val="28"/>
        </w:rPr>
        <w:t>по государственным (муниципальным) контрактам и договорам, заключённым с организациями и индивидуальными предпринимателями, применяющими упрощённую систему налогообложения</w:t>
      </w:r>
    </w:p>
    <w:p w14:paraId="466282F5" w14:textId="77777777"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14:paraId="4C46C440" w14:textId="77777777"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ходе контрольных мероприятий органы государственного финансового контроля систематически выявляют нарушения, связанные с неправомерной приёмкой и оплатой работ в рамках государственных (муниципальных) контрактов и договоров (далее – контракт)</w:t>
      </w:r>
      <w:r w:rsidR="00CF47DA" w:rsidRPr="00D918F6">
        <w:rPr>
          <w:rFonts w:ascii="Liberation Serif" w:hAnsi="Liberation Serif" w:cs="Liberation Serif"/>
        </w:rPr>
        <w:t>, заключённых с</w:t>
      </w:r>
      <w:r w:rsidRPr="00D918F6">
        <w:rPr>
          <w:rFonts w:ascii="Liberation Serif" w:hAnsi="Liberation Serif" w:cs="Liberation Serif"/>
        </w:rPr>
        <w:t xml:space="preserve"> организациям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</w:t>
      </w:r>
      <w:r w:rsidR="00CD5A77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и индивидуальным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предпринимателям</w:t>
      </w:r>
      <w:r w:rsidR="00CF47DA" w:rsidRPr="00D918F6">
        <w:rPr>
          <w:rFonts w:ascii="Liberation Serif" w:hAnsi="Liberation Serif" w:cs="Liberation Serif"/>
        </w:rPr>
        <w:t>и</w:t>
      </w:r>
      <w:r w:rsidR="00383C0A" w:rsidRPr="00D918F6">
        <w:rPr>
          <w:rFonts w:ascii="Liberation Serif" w:hAnsi="Liberation Serif" w:cs="Liberation Serif"/>
        </w:rPr>
        <w:t xml:space="preserve"> (далее – подрядчик)</w:t>
      </w:r>
      <w:r w:rsidRPr="00D918F6">
        <w:rPr>
          <w:rFonts w:ascii="Liberation Serif" w:hAnsi="Liberation Serif" w:cs="Liberation Serif"/>
        </w:rPr>
        <w:t>, применяющим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упрощённую систему налогообложения (далее – УСН).</w:t>
      </w:r>
    </w:p>
    <w:p w14:paraId="51E39D85" w14:textId="77777777"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14:paraId="241EE217" w14:textId="77777777" w:rsidR="00CF47DA" w:rsidRPr="00D918F6" w:rsidRDefault="00292F4C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Содержание типового нарушения (проблематика вопроса)</w:t>
      </w:r>
      <w:r w:rsidR="00DB2465" w:rsidRPr="00D918F6">
        <w:rPr>
          <w:rFonts w:ascii="Liberation Serif" w:hAnsi="Liberation Serif" w:cs="Liberation Serif"/>
          <w:i/>
        </w:rPr>
        <w:t>.</w:t>
      </w:r>
    </w:p>
    <w:p w14:paraId="4FD45FFA" w14:textId="77777777"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В соответствии с требованиями 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 w:rsidR="00E15B7A">
        <w:rPr>
          <w:rFonts w:ascii="Liberation Serif" w:eastAsiaTheme="minorHAnsi" w:hAnsi="Liberation Serif" w:cs="Liberation Serif"/>
          <w:lang w:eastAsia="en-US"/>
        </w:rPr>
        <w:t> 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FB078E">
        <w:rPr>
          <w:rFonts w:ascii="Liberation Serif" w:eastAsiaTheme="minorHAnsi" w:hAnsi="Liberation Serif" w:cs="Liberation Serif"/>
          <w:lang w:eastAsia="en-US"/>
        </w:rPr>
        <w:t xml:space="preserve">, </w:t>
      </w:r>
      <w:r w:rsidRPr="00D918F6">
        <w:rPr>
          <w:rFonts w:ascii="Liberation Serif" w:hAnsi="Liberation Serif" w:cs="Liberation Serif"/>
        </w:rPr>
        <w:t>Гражданског</w:t>
      </w:r>
      <w:r w:rsidR="00FB078E">
        <w:rPr>
          <w:rFonts w:ascii="Liberation Serif" w:hAnsi="Liberation Serif" w:cs="Liberation Serif"/>
        </w:rPr>
        <w:t>о кодекса Российской Федерации,</w:t>
      </w:r>
      <w:r w:rsidRPr="00D918F6">
        <w:rPr>
          <w:rFonts w:ascii="Liberation Serif" w:eastAsiaTheme="minorHAnsi" w:hAnsi="Liberation Serif" w:cs="Liberation Serif"/>
          <w:lang w:eastAsia="en-US"/>
        </w:rPr>
        <w:t xml:space="preserve"> а также условиями контрактов</w:t>
      </w:r>
      <w:r w:rsidRPr="00D918F6">
        <w:rPr>
          <w:rFonts w:ascii="Liberation Serif" w:hAnsi="Liberation Serif" w:cs="Liberation Serif"/>
        </w:rPr>
        <w:t xml:space="preserve"> подрядчик обязан надлежащим образом выполнить работы и представить заказчику отч</w:t>
      </w:r>
      <w:r w:rsidR="00E15B7A">
        <w:rPr>
          <w:rFonts w:ascii="Liberation Serif" w:hAnsi="Liberation Serif" w:cs="Liberation Serif"/>
        </w:rPr>
        <w:t>ё</w:t>
      </w:r>
      <w:r w:rsidRPr="00D918F6">
        <w:rPr>
          <w:rFonts w:ascii="Liberation Serif" w:hAnsi="Liberation Serif" w:cs="Liberation Serif"/>
        </w:rPr>
        <w:t xml:space="preserve">тную документацию на объём выполненных обязательств </w:t>
      </w:r>
      <w:r w:rsidR="00E15B7A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по итогам исполнения контракта, а заказчик обязан принять и оплатить выполненные работы в соответствии с условиями контракта.</w:t>
      </w:r>
    </w:p>
    <w:p w14:paraId="2172C892" w14:textId="77777777"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При закупке строительно-монтажных работ</w:t>
      </w:r>
      <w:r w:rsidR="00DF2BFF" w:rsidRPr="00D918F6">
        <w:rPr>
          <w:rFonts w:ascii="Liberation Serif" w:hAnsi="Liberation Serif" w:cs="Liberation Serif"/>
        </w:rPr>
        <w:t xml:space="preserve"> (далее – СМР)</w:t>
      </w:r>
      <w:r w:rsidRPr="00D918F6">
        <w:rPr>
          <w:rFonts w:ascii="Liberation Serif" w:hAnsi="Liberation Serif" w:cs="Liberation Serif"/>
        </w:rPr>
        <w:t xml:space="preserve"> начальная</w:t>
      </w:r>
      <w:r w:rsidR="00706FFE">
        <w:rPr>
          <w:rFonts w:ascii="Liberation Serif" w:hAnsi="Liberation Serif" w:cs="Liberation Serif"/>
        </w:rPr>
        <w:t xml:space="preserve"> (максимальная) цена контракта </w:t>
      </w:r>
      <w:r w:rsidRPr="00D918F6">
        <w:rPr>
          <w:rFonts w:ascii="Liberation Serif" w:hAnsi="Liberation Serif" w:cs="Liberation Serif"/>
        </w:rPr>
        <w:t>опреде</w:t>
      </w:r>
      <w:r w:rsidR="001808D8" w:rsidRPr="00D918F6">
        <w:rPr>
          <w:rFonts w:ascii="Liberation Serif" w:hAnsi="Liberation Serif" w:cs="Liberation Serif"/>
        </w:rPr>
        <w:t>ляется проектно-сметным методом</w:t>
      </w:r>
      <w:r w:rsidR="00403DDC" w:rsidRPr="00D918F6">
        <w:rPr>
          <w:rFonts w:ascii="Liberation Serif" w:hAnsi="Liberation Serif" w:cs="Liberation Serif"/>
        </w:rPr>
        <w:t xml:space="preserve"> </w:t>
      </w:r>
      <w:r w:rsidR="00706FFE">
        <w:rPr>
          <w:rFonts w:ascii="Liberation Serif" w:hAnsi="Liberation Serif" w:cs="Liberation Serif"/>
        </w:rPr>
        <w:br/>
      </w:r>
      <w:r w:rsidR="00403DDC" w:rsidRPr="00D918F6">
        <w:rPr>
          <w:rFonts w:ascii="Liberation Serif" w:hAnsi="Liberation Serif" w:cs="Liberation Serif"/>
        </w:rPr>
        <w:t xml:space="preserve">на основании сметных </w:t>
      </w:r>
      <w:r w:rsidR="00300DF2" w:rsidRPr="00D918F6">
        <w:rPr>
          <w:rFonts w:ascii="Liberation Serif" w:hAnsi="Liberation Serif" w:cs="Liberation Serif"/>
        </w:rPr>
        <w:t>(локальны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, сводны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)</w:t>
      </w:r>
      <w:r w:rsidR="00300DF2">
        <w:rPr>
          <w:rFonts w:ascii="Liberation Serif" w:hAnsi="Liberation Serif" w:cs="Liberation Serif"/>
        </w:rPr>
        <w:t xml:space="preserve"> </w:t>
      </w:r>
      <w:r w:rsidR="00403DDC" w:rsidRPr="00D918F6">
        <w:rPr>
          <w:rFonts w:ascii="Liberation Serif" w:hAnsi="Liberation Serif" w:cs="Liberation Serif"/>
        </w:rPr>
        <w:t>расчётов.</w:t>
      </w:r>
    </w:p>
    <w:p w14:paraId="4B855F35" w14:textId="77777777"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силу требований градостроительного законодательства</w:t>
      </w:r>
      <w:r w:rsidR="00DF2BFF" w:rsidRPr="00D918F6">
        <w:rPr>
          <w:rStyle w:val="a7"/>
          <w:rFonts w:ascii="Liberation Serif" w:hAnsi="Liberation Serif" w:cs="Liberation Serif"/>
        </w:rPr>
        <w:footnoteReference w:id="1"/>
      </w:r>
      <w:r w:rsidRPr="00D918F6">
        <w:rPr>
          <w:rFonts w:ascii="Liberation Serif" w:hAnsi="Liberation Serif" w:cs="Liberation Serif"/>
        </w:rPr>
        <w:t xml:space="preserve"> по контрактам </w:t>
      </w:r>
      <w:r w:rsidR="00DF2BFF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 xml:space="preserve">на выполнение </w:t>
      </w:r>
      <w:r w:rsidR="00DF2BFF" w:rsidRPr="00D918F6">
        <w:rPr>
          <w:rFonts w:ascii="Liberation Serif" w:hAnsi="Liberation Serif" w:cs="Liberation Serif"/>
        </w:rPr>
        <w:t>СМР</w:t>
      </w:r>
      <w:r w:rsidRPr="00D918F6">
        <w:rPr>
          <w:rFonts w:ascii="Liberation Serif" w:hAnsi="Liberation Serif" w:cs="Liberation Serif"/>
        </w:rPr>
        <w:t xml:space="preserve"> сметная документация всегда формируется с </w:t>
      </w:r>
      <w:r w:rsidR="00DF2BFF" w:rsidRPr="00D918F6">
        <w:rPr>
          <w:rFonts w:ascii="Liberation Serif" w:hAnsi="Liberation Serif" w:cs="Liberation Serif"/>
        </w:rPr>
        <w:t xml:space="preserve">налогом </w:t>
      </w:r>
      <w:r w:rsidR="00DF2BFF" w:rsidRPr="00D918F6">
        <w:rPr>
          <w:rFonts w:ascii="Liberation Serif" w:hAnsi="Liberation Serif" w:cs="Liberation Serif"/>
        </w:rPr>
        <w:br/>
        <w:t>на добавленную стоимость (далее – НДС).</w:t>
      </w:r>
    </w:p>
    <w:p w14:paraId="56A249BF" w14:textId="77777777"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соответствии с</w:t>
      </w:r>
      <w:r w:rsidR="00690B0D">
        <w:rPr>
          <w:rFonts w:ascii="Liberation Serif" w:hAnsi="Liberation Serif" w:cs="Liberation Serif"/>
          <w:iCs/>
          <w:sz w:val="28"/>
          <w:szCs w:val="28"/>
        </w:rPr>
        <w:t>о статьей 34 Закона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о контрактной системе:</w:t>
      </w:r>
    </w:p>
    <w:p w14:paraId="2AF407E5" w14:textId="77777777"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контракт заключается на условиях, предусмотренных извещением</w:t>
      </w:r>
      <w:r w:rsidRPr="00D918F6">
        <w:rPr>
          <w:rFonts w:ascii="Liberation Serif" w:hAnsi="Liberation Serif" w:cs="Liberation Serif"/>
          <w:iCs/>
          <w:sz w:val="28"/>
          <w:szCs w:val="28"/>
        </w:rPr>
        <w:br/>
        <w:t>об осуществлении закупки или приглашением принять участие в определении поставщика, документацией о закупке, заявкой, окончательным предложением участника закупки, с которым заключается контракт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(часть 1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14:paraId="6EDF980E" w14:textId="77777777" w:rsidR="001808D8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цена контракта является тв</w:t>
      </w:r>
      <w:r w:rsidR="00E15B7A">
        <w:rPr>
          <w:rFonts w:ascii="Liberation Serif" w:hAnsi="Liberation Serif" w:cs="Liberation Serif"/>
          <w:iCs/>
          <w:sz w:val="28"/>
          <w:szCs w:val="28"/>
        </w:rPr>
        <w:t>ё</w:t>
      </w:r>
      <w:r w:rsidRPr="00D918F6">
        <w:rPr>
          <w:rFonts w:ascii="Liberation Serif" w:hAnsi="Liberation Serif" w:cs="Liberation Serif"/>
          <w:iCs/>
          <w:sz w:val="28"/>
          <w:szCs w:val="28"/>
        </w:rPr>
        <w:t>рдой и определяется на весь срок</w:t>
      </w:r>
      <w:r w:rsidR="00E15B7A">
        <w:rPr>
          <w:rFonts w:ascii="Liberation Serif" w:hAnsi="Liberation Serif" w:cs="Liberation Serif"/>
          <w:iCs/>
          <w:sz w:val="28"/>
          <w:szCs w:val="28"/>
        </w:rPr>
        <w:t xml:space="preserve"> его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исполнения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(часть 2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14:paraId="12D95650" w14:textId="77777777" w:rsidR="00690B0D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- при заключении </w:t>
      </w:r>
      <w:r w:rsidR="00FB078E">
        <w:rPr>
          <w:rFonts w:ascii="Liberation Serif" w:hAnsi="Liberation Serif" w:cs="Liberation Serif"/>
          <w:iCs/>
          <w:sz w:val="28"/>
          <w:szCs w:val="28"/>
        </w:rPr>
        <w:t xml:space="preserve">и 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исполнении контракта изменение его условий </w:t>
      </w:r>
      <w:r w:rsidR="00153087" w:rsidRPr="00D918F6">
        <w:rPr>
          <w:rFonts w:ascii="Liberation Serif" w:hAnsi="Liberation Serif" w:cs="Liberation Serif"/>
          <w:iCs/>
          <w:sz w:val="28"/>
          <w:szCs w:val="28"/>
        </w:rPr>
        <w:br/>
      </w:r>
      <w:r w:rsidRPr="00D918F6">
        <w:rPr>
          <w:rFonts w:ascii="Liberation Serif" w:hAnsi="Liberation Serif" w:cs="Liberation Serif"/>
          <w:iCs/>
          <w:sz w:val="28"/>
          <w:szCs w:val="28"/>
        </w:rPr>
        <w:t>не допускается, за исключением случаев, предусмотренных статьями 34 и 95 данного Федерального закона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(часть 2 статьи 34).</w:t>
      </w:r>
    </w:p>
    <w:p w14:paraId="36D0ED0A" w14:textId="77777777"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С учётом указанных правовых требований корректировка заказчиком цены контракта, предложенной подрядчиком, применяющим УСН, при проведении аукциона, а также при заключении контракта не допускается, выполненные работы (поставленные товары, оказанные услуги) оплачиваются по цене, указанной в контракте.</w:t>
      </w:r>
    </w:p>
    <w:p w14:paraId="08227865" w14:textId="77777777"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71736A" w14:textId="2F6369CE"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 2015 года единообразно – по всей России суды, включая практику высшей судебной инстанции – Верховного Суда Российской Федерации (далее – ВС РФ), указывают, что </w:t>
      </w:r>
      <w:r w:rsidRPr="00D918F6">
        <w:rPr>
          <w:rFonts w:ascii="Liberation Serif" w:hAnsi="Liberation Serif" w:cs="Liberation Serif"/>
          <w:iCs/>
          <w:sz w:val="28"/>
          <w:szCs w:val="28"/>
        </w:rPr>
        <w:t>контракт заключается и оплачивается заказчиком по цене участника закупки, с которым заключается контракт, вне зависимости</w:t>
      </w:r>
      <w:r w:rsidR="002277DD" w:rsidRPr="002277D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D918F6">
        <w:rPr>
          <w:rFonts w:ascii="Liberation Serif" w:hAnsi="Liberation Serif" w:cs="Liberation Serif"/>
          <w:iCs/>
          <w:sz w:val="28"/>
          <w:szCs w:val="28"/>
        </w:rPr>
        <w:t>от применяемой им системы налогообложения</w:t>
      </w:r>
      <w:r w:rsidRPr="00D918F6">
        <w:rPr>
          <w:rStyle w:val="a7"/>
          <w:rFonts w:ascii="Liberation Serif" w:hAnsi="Liberation Serif" w:cs="Liberation Serif"/>
          <w:iCs/>
          <w:sz w:val="28"/>
          <w:szCs w:val="28"/>
        </w:rPr>
        <w:footnoteReference w:id="2"/>
      </w:r>
      <w:r w:rsidRPr="00D918F6">
        <w:rPr>
          <w:rFonts w:ascii="Liberation Serif" w:hAnsi="Liberation Serif" w:cs="Liberation Serif"/>
          <w:iCs/>
          <w:sz w:val="28"/>
          <w:szCs w:val="28"/>
        </w:rPr>
        <w:t>.</w:t>
      </w:r>
    </w:p>
    <w:p w14:paraId="7465703D" w14:textId="77777777" w:rsidR="001808D8" w:rsidRPr="00D918F6" w:rsidRDefault="001808D8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Аналогичные разъяснения по указанной ситуации неоднократно даны Минфином России</w:t>
      </w:r>
      <w:r w:rsidR="00383C0A" w:rsidRPr="00D918F6">
        <w:rPr>
          <w:rStyle w:val="a7"/>
          <w:rFonts w:ascii="Liberation Serif" w:hAnsi="Liberation Serif" w:cs="Liberation Serif"/>
        </w:rPr>
        <w:footnoteReference w:id="3"/>
      </w:r>
      <w:r w:rsidR="00383C0A" w:rsidRPr="00D918F6">
        <w:rPr>
          <w:rFonts w:ascii="Liberation Serif" w:hAnsi="Liberation Serif" w:cs="Liberation Serif"/>
        </w:rPr>
        <w:t>.</w:t>
      </w:r>
    </w:p>
    <w:p w14:paraId="728FBFFB" w14:textId="6C095007"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Таким образом, применение победителем аукциона специального налогового режима</w:t>
      </w:r>
      <w:r w:rsidR="00383C0A" w:rsidRPr="00D918F6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либо освобождение его от обязанностей плательщика НДС</w:t>
      </w:r>
      <w:r w:rsidR="002277DD" w:rsidRPr="002277DD">
        <w:rPr>
          <w:rFonts w:ascii="Liberation Serif" w:hAnsi="Liberation Serif" w:cs="Liberation Serif"/>
          <w:sz w:val="28"/>
          <w:szCs w:val="28"/>
        </w:rPr>
        <w:t xml:space="preserve"> </w:t>
      </w:r>
      <w:r w:rsidRPr="00D918F6">
        <w:rPr>
          <w:rFonts w:ascii="Liberation Serif" w:hAnsi="Liberation Serif" w:cs="Liberation Serif"/>
          <w:sz w:val="28"/>
          <w:szCs w:val="28"/>
        </w:rPr>
        <w:t>не да</w:t>
      </w:r>
      <w:r w:rsidR="00E15B7A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>т заказчику оснований снижать цену контракта при его заключении</w:t>
      </w:r>
      <w:r w:rsidR="002277DD" w:rsidRPr="002277DD">
        <w:rPr>
          <w:rFonts w:ascii="Liberation Serif" w:hAnsi="Liberation Serif" w:cs="Liberation Serif"/>
          <w:sz w:val="28"/>
          <w:szCs w:val="28"/>
        </w:rPr>
        <w:t xml:space="preserve"> </w:t>
      </w:r>
      <w:r w:rsidRPr="00D918F6">
        <w:rPr>
          <w:rFonts w:ascii="Liberation Serif" w:hAnsi="Liberation Serif" w:cs="Liberation Serif"/>
          <w:sz w:val="28"/>
          <w:szCs w:val="28"/>
        </w:rPr>
        <w:t>и исполнении на сумму НДС, заказчик обязан оплатить выполненные победителем аукциона работы по согласованной цене.</w:t>
      </w:r>
    </w:p>
    <w:p w14:paraId="0FC4E8B6" w14:textId="77777777" w:rsidR="009457F3" w:rsidRPr="00D918F6" w:rsidRDefault="00292F4C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Вместе с тем, </w:t>
      </w:r>
      <w:r w:rsidR="009457F3" w:rsidRPr="00D918F6">
        <w:rPr>
          <w:rFonts w:ascii="Liberation Serif" w:hAnsi="Liberation Serif" w:cs="Liberation Serif"/>
          <w:sz w:val="28"/>
          <w:szCs w:val="28"/>
        </w:rPr>
        <w:t>контрольными органами в ходе проверок выявляется следующее.</w:t>
      </w:r>
    </w:p>
    <w:p w14:paraId="10205095" w14:textId="13DEC7A6" w:rsidR="009457F3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 рамках исполнения контрактов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организациями и индивидуальными предпринимателями, применяющими УСН, в документах о приёмке строительно-монтажных работ – акт о приёмке выполненных работ формы № КС-2 (далее – КС-2) и справки о стоимости выполненных работ и затрат формы № КС-3 (далее – КС-3), вместо </w:t>
      </w:r>
      <w:r w:rsidR="009457F3" w:rsidRPr="00D918F6">
        <w:rPr>
          <w:rFonts w:ascii="Liberation Serif" w:hAnsi="Liberation Serif" w:cs="Liberation Serif"/>
          <w:sz w:val="28"/>
          <w:szCs w:val="28"/>
        </w:rPr>
        <w:t>НДС указываются различные «коэффициенты», 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предусмотренные действующим законодательством и </w:t>
      </w:r>
      <w:r w:rsidR="00FB078E">
        <w:rPr>
          <w:rFonts w:ascii="Liberation Serif" w:hAnsi="Liberation Serif" w:cs="Liberation Serif"/>
          <w:sz w:val="28"/>
          <w:szCs w:val="28"/>
        </w:rPr>
        <w:t>условиями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9457F3" w:rsidRPr="00D918F6">
        <w:rPr>
          <w:rFonts w:ascii="Liberation Serif" w:hAnsi="Liberation Serif" w:cs="Liberation Serif"/>
          <w:sz w:val="28"/>
          <w:szCs w:val="28"/>
        </w:rPr>
        <w:t>.</w:t>
      </w:r>
    </w:p>
    <w:p w14:paraId="42C01C07" w14:textId="77777777" w:rsidR="00292F4C" w:rsidRPr="00D918F6" w:rsidRDefault="009457F3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Например: «повышающий коэффициент», «тендерный коэффициент», «коэффициент приведения стоимости работ к цене контракта», «коэффициент взамен НДС» и так далее.</w:t>
      </w:r>
    </w:p>
    <w:p w14:paraId="5EFFFF59" w14:textId="77777777"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257E3">
        <w:rPr>
          <w:rFonts w:ascii="Liberation Serif" w:hAnsi="Liberation Serif"/>
          <w:sz w:val="28"/>
          <w:szCs w:val="28"/>
        </w:rPr>
        <w:t>Кроме того, имеют место факты:</w:t>
      </w:r>
    </w:p>
    <w:p w14:paraId="1DF3EC20" w14:textId="77777777"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исключения подрядчиком суммы НДС из КС-2 и КС-3, при этом итоговая сумма в документах о приёмке указывается на 20% выше расчетной, на сумму удаленного НДС обоснование затрат подрядчика отсутствует;</w:t>
      </w:r>
    </w:p>
    <w:p w14:paraId="31B64598" w14:textId="649DED8A" w:rsidR="00BC4E83" w:rsidRPr="00C257E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 замена суммы НДС стоимостью дополнительных работ, которые фактически не выполнялись (затраты подрядчика на выполнение таких работ не подтверждены). </w:t>
      </w:r>
    </w:p>
    <w:p w14:paraId="38989403" w14:textId="609F63AB" w:rsidR="00153087" w:rsidRPr="00E15B7A" w:rsidRDefault="00AD4B0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</w:rPr>
        <w:t>Документы, содержащие незаконные коэффициенты и необоснованные итоговые суммы</w:t>
      </w:r>
      <w:r w:rsidR="00FB078E">
        <w:rPr>
          <w:rFonts w:ascii="Liberation Serif" w:hAnsi="Liberation Serif" w:cs="Liberation Serif"/>
        </w:rPr>
        <w:t>, учитывая условия</w:t>
      </w:r>
      <w:r w:rsidRPr="00D918F6">
        <w:rPr>
          <w:rFonts w:ascii="Liberation Serif" w:hAnsi="Liberation Serif" w:cs="Liberation Serif"/>
        </w:rPr>
        <w:t xml:space="preserve"> контрактов, </w:t>
      </w:r>
      <w:r w:rsidR="00FB078E">
        <w:rPr>
          <w:rFonts w:ascii="Liberation Serif" w:hAnsi="Liberation Serif" w:cs="Liberation Serif"/>
        </w:rPr>
        <w:t xml:space="preserve">требования </w:t>
      </w:r>
      <w:r w:rsidRPr="00D918F6">
        <w:rPr>
          <w:rFonts w:ascii="Liberation Serif" w:eastAsiaTheme="minorHAnsi" w:hAnsi="Liberation Serif" w:cs="Liberation Serif"/>
          <w:lang w:eastAsia="en-US"/>
        </w:rPr>
        <w:t>Закона о контрактной системе</w:t>
      </w:r>
      <w:r w:rsidRPr="00D918F6">
        <w:rPr>
          <w:rFonts w:ascii="Liberation Serif" w:hAnsi="Liberation Serif" w:cs="Liberation Serif"/>
        </w:rPr>
        <w:t xml:space="preserve"> и бюджетного законодательства, </w:t>
      </w:r>
      <w:r w:rsidRPr="00E15B7A">
        <w:rPr>
          <w:rFonts w:ascii="Liberation Serif" w:hAnsi="Liberation Serif" w:cs="Liberation Serif"/>
          <w:i/>
        </w:rPr>
        <w:t>приёмке и оплате</w:t>
      </w:r>
      <w:r w:rsidR="002277DD" w:rsidRPr="002277DD">
        <w:rPr>
          <w:rFonts w:ascii="Liberation Serif" w:hAnsi="Liberation Serif" w:cs="Liberation Serif"/>
          <w:i/>
        </w:rPr>
        <w:t xml:space="preserve"> </w:t>
      </w:r>
      <w:r w:rsidRPr="00E15B7A">
        <w:rPr>
          <w:rFonts w:ascii="Liberation Serif" w:hAnsi="Liberation Serif" w:cs="Liberation Serif"/>
          <w:i/>
        </w:rPr>
        <w:t>не подлежат.</w:t>
      </w:r>
    </w:p>
    <w:p w14:paraId="50730EFB" w14:textId="77777777"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Последствия.</w:t>
      </w:r>
    </w:p>
    <w:p w14:paraId="69128F7E" w14:textId="77777777" w:rsidR="00DB2465" w:rsidRPr="00D918F6" w:rsidRDefault="00DB2465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Контрольными органами указанные нарушения могут быть квалифицированы как нецелевое либо неправомерное использование бюджетных средств, что влечёт риски взыскания </w:t>
      </w:r>
      <w:r w:rsidR="00C431A4" w:rsidRPr="00E15B7A">
        <w:rPr>
          <w:rFonts w:ascii="Liberation Serif" w:hAnsi="Liberation Serif" w:cs="Liberation Serif"/>
          <w:i/>
        </w:rPr>
        <w:t>исключительно</w:t>
      </w:r>
      <w:r w:rsidR="00C431A4" w:rsidRPr="00D918F6">
        <w:rPr>
          <w:rFonts w:ascii="Liberation Serif" w:hAnsi="Liberation Serif" w:cs="Liberation Serif"/>
        </w:rPr>
        <w:t xml:space="preserve"> </w:t>
      </w:r>
      <w:r w:rsidR="00972299" w:rsidRPr="00D918F6">
        <w:rPr>
          <w:rFonts w:ascii="Liberation Serif" w:hAnsi="Liberation Serif" w:cs="Liberation Serif"/>
        </w:rPr>
        <w:t>с заказчика неправомерно оплаченного коэффициента (неподтверждённых расходов).</w:t>
      </w:r>
    </w:p>
    <w:p w14:paraId="0817CC96" w14:textId="651F1814" w:rsidR="003B0BBF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972299" w:rsidRPr="00D918F6">
        <w:rPr>
          <w:rFonts w:ascii="Liberation Serif" w:hAnsi="Liberation Serif" w:cs="Liberation Serif"/>
          <w:sz w:val="28"/>
          <w:szCs w:val="28"/>
        </w:rPr>
        <w:t xml:space="preserve">читывая вышеуказанные требования законодательства о контрактной системе, 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неправомерно израсходованные </w:t>
      </w:r>
      <w:r w:rsidR="00A36AF1" w:rsidRPr="00D918F6">
        <w:rPr>
          <w:rFonts w:ascii="Liberation Serif" w:hAnsi="Liberation Serif" w:cs="Liberation Serif"/>
          <w:sz w:val="28"/>
          <w:szCs w:val="28"/>
        </w:rPr>
        <w:t>бюджетные средства на оплату</w:t>
      </w:r>
      <w:r w:rsidR="002277DD" w:rsidRPr="002277DD">
        <w:rPr>
          <w:rFonts w:ascii="Liberation Serif" w:hAnsi="Liberation Serif" w:cs="Liberation Serif"/>
          <w:sz w:val="28"/>
          <w:szCs w:val="28"/>
        </w:rPr>
        <w:t xml:space="preserve"> </w:t>
      </w:r>
      <w:r w:rsidR="00A36AF1" w:rsidRPr="00D918F6">
        <w:rPr>
          <w:rFonts w:ascii="Liberation Serif" w:hAnsi="Liberation Serif" w:cs="Liberation Serif"/>
          <w:sz w:val="28"/>
          <w:szCs w:val="28"/>
        </w:rPr>
        <w:t>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предусмотренного законом и условиями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коэффициента</w:t>
      </w:r>
      <w:r w:rsidR="00A36AF1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не могут быть взысканы</w:t>
      </w:r>
      <w:r w:rsidR="00C431A4" w:rsidRPr="00D918F6">
        <w:rPr>
          <w:rFonts w:ascii="Liberation Serif" w:hAnsi="Liberation Serif" w:cs="Liberation Serif"/>
          <w:sz w:val="28"/>
          <w:szCs w:val="28"/>
        </w:rPr>
        <w:t xml:space="preserve"> с подрядчика в порядке регресса или путём предъявления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исковых требований о взыскании неосновательного обогащения</w:t>
      </w:r>
      <w:r w:rsidR="00E15B7A">
        <w:rPr>
          <w:rFonts w:ascii="Liberation Serif" w:hAnsi="Liberation Serif" w:cs="Liberation Serif"/>
          <w:sz w:val="28"/>
          <w:szCs w:val="28"/>
        </w:rPr>
        <w:t>, что также указано</w:t>
      </w:r>
      <w:r w:rsidR="002277DD" w:rsidRPr="002277DD">
        <w:rPr>
          <w:rFonts w:ascii="Liberation Serif" w:hAnsi="Liberation Serif" w:cs="Liberation Serif"/>
          <w:sz w:val="28"/>
          <w:szCs w:val="28"/>
        </w:rPr>
        <w:t xml:space="preserve"> </w:t>
      </w:r>
      <w:r w:rsidR="00E15B7A">
        <w:rPr>
          <w:rFonts w:ascii="Liberation Serif" w:hAnsi="Liberation Serif" w:cs="Liberation Serif"/>
          <w:sz w:val="28"/>
          <w:szCs w:val="28"/>
        </w:rPr>
        <w:t>в решениях судов</w:t>
      </w:r>
      <w:r w:rsidR="00FB078E">
        <w:rPr>
          <w:rStyle w:val="a7"/>
          <w:rFonts w:ascii="Liberation Serif" w:hAnsi="Liberation Serif" w:cs="Liberation Serif"/>
          <w:sz w:val="28"/>
          <w:szCs w:val="28"/>
        </w:rPr>
        <w:footnoteReference w:id="4"/>
      </w:r>
      <w:r w:rsidR="00FB078E">
        <w:rPr>
          <w:rFonts w:ascii="Liberation Serif" w:hAnsi="Liberation Serif" w:cs="Liberation Serif"/>
          <w:sz w:val="28"/>
          <w:szCs w:val="28"/>
        </w:rPr>
        <w:t>.</w:t>
      </w:r>
    </w:p>
    <w:p w14:paraId="14105AFB" w14:textId="48A727BD"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  <w:i/>
        </w:rPr>
        <w:t>Причи</w:t>
      </w:r>
      <w:r w:rsidR="00DB2465" w:rsidRPr="00D918F6">
        <w:rPr>
          <w:rFonts w:ascii="Liberation Serif" w:hAnsi="Liberation Serif" w:cs="Liberation Serif"/>
          <w:i/>
        </w:rPr>
        <w:t>н</w:t>
      </w:r>
      <w:r w:rsidR="00C431A4" w:rsidRPr="00D918F6">
        <w:rPr>
          <w:rFonts w:ascii="Liberation Serif" w:hAnsi="Liberation Serif" w:cs="Liberation Serif"/>
          <w:i/>
        </w:rPr>
        <w:t xml:space="preserve">ами </w:t>
      </w:r>
      <w:r w:rsidR="00C431A4" w:rsidRPr="00D918F6">
        <w:rPr>
          <w:rFonts w:ascii="Liberation Serif" w:hAnsi="Liberation Serif" w:cs="Liberation Serif"/>
        </w:rPr>
        <w:t xml:space="preserve">таких нарушений в основном </w:t>
      </w:r>
      <w:r w:rsidR="00837980">
        <w:rPr>
          <w:rFonts w:ascii="Liberation Serif" w:hAnsi="Liberation Serif" w:cs="Liberation Serif"/>
        </w:rPr>
        <w:t>является</w:t>
      </w:r>
      <w:r w:rsidR="00C431A4" w:rsidRPr="00D918F6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>отсутст</w:t>
      </w:r>
      <w:r w:rsidR="00C431A4" w:rsidRPr="00D918F6">
        <w:rPr>
          <w:rFonts w:ascii="Liberation Serif" w:hAnsi="Liberation Serif" w:cs="Liberation Serif"/>
        </w:rPr>
        <w:t>вие</w:t>
      </w:r>
      <w:r w:rsidRPr="00D918F6">
        <w:rPr>
          <w:rFonts w:ascii="Liberation Serif" w:hAnsi="Liberation Serif" w:cs="Liberation Serif"/>
        </w:rPr>
        <w:t xml:space="preserve"> надлежащего взаимодействия заказчика и подрядчика в рамках исполнения контрактов</w:t>
      </w:r>
      <w:r w:rsidR="00C431A4" w:rsidRPr="00D918F6">
        <w:rPr>
          <w:rFonts w:ascii="Liberation Serif" w:hAnsi="Liberation Serif" w:cs="Liberation Serif"/>
        </w:rPr>
        <w:t>, а также неверное толкование норм налогового законодательства и законодательства</w:t>
      </w:r>
      <w:r w:rsidR="002277DD" w:rsidRPr="002277DD">
        <w:rPr>
          <w:rFonts w:ascii="Liberation Serif" w:hAnsi="Liberation Serif" w:cs="Liberation Serif"/>
        </w:rPr>
        <w:t xml:space="preserve"> </w:t>
      </w:r>
      <w:r w:rsidR="00C431A4" w:rsidRPr="00D918F6">
        <w:rPr>
          <w:rFonts w:ascii="Liberation Serif" w:hAnsi="Liberation Serif" w:cs="Liberation Serif"/>
        </w:rPr>
        <w:t>о закупках.</w:t>
      </w:r>
    </w:p>
    <w:p w14:paraId="527F0368" w14:textId="77777777" w:rsidR="00837980" w:rsidRDefault="007E1EC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Вместе с тем, </w:t>
      </w:r>
      <w:r w:rsidR="00A36AF1" w:rsidRPr="00D918F6">
        <w:rPr>
          <w:rFonts w:ascii="Liberation Serif" w:hAnsi="Liberation Serif" w:cs="Liberation Serif"/>
        </w:rPr>
        <w:t>с</w:t>
      </w:r>
      <w:r w:rsidR="009C6BCA" w:rsidRPr="00D918F6">
        <w:rPr>
          <w:rFonts w:ascii="Liberation Serif" w:hAnsi="Liberation Serif" w:cs="Liberation Serif"/>
        </w:rPr>
        <w:t>огласно позиции Федеральной налоговой службы, изложенной в письме от 26.05.2023 №</w:t>
      </w:r>
      <w:r w:rsidR="00E15B7A"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СД-4-3/6648: </w:t>
      </w:r>
    </w:p>
    <w:p w14:paraId="6DB29DC5" w14:textId="77777777"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«Организации, применяющие УСН, не являются налогоплательщиками НДС, обязанность составления счетов-фактур у этих лиц отсутствует. В этой связи при реализации товаров (работ, услуг) указанными организациями счета-фактуры не выставляются.</w:t>
      </w:r>
    </w:p>
    <w:p w14:paraId="785B8B78" w14:textId="77777777" w:rsidR="00837980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Следовательно, обязанность по уплате НДС в бюджет возлагается </w:t>
      </w:r>
      <w:r w:rsidRPr="00D918F6">
        <w:rPr>
          <w:rFonts w:ascii="Liberation Serif" w:hAnsi="Liberation Serif" w:cs="Liberation Serif"/>
          <w:sz w:val="28"/>
          <w:szCs w:val="28"/>
        </w:rPr>
        <w:br/>
        <w:t xml:space="preserve">на подрядчика, применяющего УСН, только </w:t>
      </w:r>
      <w:r w:rsidRPr="00D918F6">
        <w:rPr>
          <w:rFonts w:ascii="Liberation Serif" w:hAnsi="Liberation Serif" w:cs="Liberation Serif"/>
          <w:i/>
          <w:sz w:val="28"/>
          <w:szCs w:val="28"/>
        </w:rPr>
        <w:t>в случае выставления таким подрядчиком счета-фактуры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выделением в н</w:t>
      </w:r>
      <w:r w:rsidR="00A36AF1" w:rsidRPr="00D918F6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м суммы НДС. </w:t>
      </w:r>
    </w:p>
    <w:p w14:paraId="6B027300" w14:textId="77777777" w:rsidR="009C6BCA" w:rsidRPr="00D918F6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 том случае</w:t>
      </w:r>
      <w:r w:rsidR="00837980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если подрядчик выставляет в адрес заказчика </w:t>
      </w:r>
      <w:r w:rsidRPr="00D918F6">
        <w:rPr>
          <w:rFonts w:ascii="Liberation Serif" w:hAnsi="Liberation Serif" w:cs="Liberation Serif"/>
          <w:i/>
          <w:sz w:val="28"/>
          <w:szCs w:val="28"/>
        </w:rPr>
        <w:t>только первичные учетные документы (КС-2 и КС-3)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выделенной в них суммой НДС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i/>
          <w:sz w:val="28"/>
          <w:szCs w:val="28"/>
        </w:rPr>
        <w:t>без выставления сч</w:t>
      </w:r>
      <w:r w:rsidR="00A36AF1" w:rsidRPr="00D918F6">
        <w:rPr>
          <w:rFonts w:ascii="Liberation Serif" w:hAnsi="Liberation Serif" w:cs="Liberation Serif"/>
          <w:i/>
          <w:sz w:val="28"/>
          <w:szCs w:val="28"/>
        </w:rPr>
        <w:t>ё</w:t>
      </w:r>
      <w:r w:rsidRPr="00D918F6">
        <w:rPr>
          <w:rFonts w:ascii="Liberation Serif" w:hAnsi="Liberation Serif" w:cs="Liberation Serif"/>
          <w:i/>
          <w:sz w:val="28"/>
          <w:szCs w:val="28"/>
        </w:rPr>
        <w:t>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, </w:t>
      </w:r>
      <w:r w:rsidRPr="00E15B7A">
        <w:rPr>
          <w:rFonts w:ascii="Liberation Serif" w:hAnsi="Liberation Serif" w:cs="Liberation Serif"/>
          <w:sz w:val="28"/>
          <w:szCs w:val="28"/>
        </w:rPr>
        <w:t xml:space="preserve">то </w:t>
      </w:r>
      <w:r w:rsidRPr="00E15B7A">
        <w:rPr>
          <w:rFonts w:ascii="Liberation Serif" w:hAnsi="Liberation Serif" w:cs="Liberation Serif"/>
          <w:i/>
          <w:sz w:val="28"/>
          <w:szCs w:val="28"/>
        </w:rPr>
        <w:t>обязанности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по уплате НДС в бюджет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sz w:val="28"/>
          <w:szCs w:val="28"/>
        </w:rPr>
        <w:t xml:space="preserve">у подрядчика, применяющего УСН, </w:t>
      </w:r>
      <w:r w:rsidRPr="00E15B7A">
        <w:rPr>
          <w:rFonts w:ascii="Liberation Serif" w:hAnsi="Liberation Serif" w:cs="Liberation Serif"/>
          <w:i/>
          <w:sz w:val="28"/>
          <w:szCs w:val="28"/>
        </w:rPr>
        <w:t>не возникает</w:t>
      </w:r>
      <w:r w:rsidRPr="00D918F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D918F6">
        <w:rPr>
          <w:rFonts w:ascii="Liberation Serif" w:hAnsi="Liberation Serif" w:cs="Liberation Serif"/>
          <w:sz w:val="28"/>
          <w:szCs w:val="28"/>
        </w:rPr>
        <w:t>.</w:t>
      </w:r>
    </w:p>
    <w:p w14:paraId="5802C34E" w14:textId="77777777"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Кроме того, тождественные разъяснения по указанной ситуации неоднократно даны Минфином России</w:t>
      </w:r>
      <w:r w:rsidR="00DB2465" w:rsidRPr="00D918F6">
        <w:rPr>
          <w:rStyle w:val="a7"/>
          <w:rFonts w:ascii="Liberation Serif" w:hAnsi="Liberation Serif" w:cs="Liberation Serif"/>
        </w:rPr>
        <w:footnoteReference w:id="5"/>
      </w:r>
      <w:r w:rsidR="00E3067B">
        <w:rPr>
          <w:rFonts w:ascii="Liberation Serif" w:hAnsi="Liberation Serif" w:cs="Liberation Serif"/>
        </w:rPr>
        <w:t>, а также Минстроем России</w:t>
      </w:r>
      <w:r w:rsidR="00E3067B">
        <w:rPr>
          <w:rStyle w:val="a7"/>
          <w:rFonts w:ascii="Liberation Serif" w:hAnsi="Liberation Serif" w:cs="Liberation Serif"/>
        </w:rPr>
        <w:footnoteReference w:id="6"/>
      </w:r>
      <w:r w:rsidRPr="00D918F6">
        <w:rPr>
          <w:rFonts w:ascii="Liberation Serif" w:hAnsi="Liberation Serif" w:cs="Liberation Serif"/>
        </w:rPr>
        <w:t>.</w:t>
      </w:r>
    </w:p>
    <w:p w14:paraId="7D0B6E5C" w14:textId="77777777"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Также по данному вопросу сложилась однозначная судебная практика.</w:t>
      </w:r>
    </w:p>
    <w:p w14:paraId="3A95B642" w14:textId="4FAC5C85" w:rsidR="009C6BCA" w:rsidRPr="00D918F6" w:rsidRDefault="00E15B7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</w:t>
      </w:r>
      <w:r w:rsidR="009C6BCA" w:rsidRPr="00D918F6">
        <w:rPr>
          <w:rFonts w:ascii="Liberation Serif" w:hAnsi="Liberation Serif" w:cs="Liberation Serif"/>
        </w:rPr>
        <w:t xml:space="preserve">апример: в Постановлении </w:t>
      </w:r>
      <w:r w:rsidR="007E1ECE" w:rsidRPr="00D918F6">
        <w:rPr>
          <w:rFonts w:ascii="Liberation Serif" w:hAnsi="Liberation Serif" w:cs="Liberation Serif"/>
        </w:rPr>
        <w:t>ВС РФ</w:t>
      </w:r>
      <w:r w:rsidR="009C6BCA" w:rsidRPr="00D918F6">
        <w:rPr>
          <w:rFonts w:ascii="Liberation Serif" w:hAnsi="Liberation Serif" w:cs="Liberation Serif"/>
        </w:rPr>
        <w:t xml:space="preserve"> от 06.07.2021 №</w:t>
      </w:r>
      <w:r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46-АД21-70-К6 указано, что обязанность подрядчика, применяющего УСН, по начислению </w:t>
      </w:r>
      <w:r w:rsidR="007E1ECE" w:rsidRPr="00D918F6">
        <w:rPr>
          <w:rFonts w:ascii="Liberation Serif" w:hAnsi="Liberation Serif" w:cs="Liberation Serif"/>
        </w:rPr>
        <w:br/>
      </w:r>
      <w:r w:rsidR="009C6BCA" w:rsidRPr="00D918F6">
        <w:rPr>
          <w:rFonts w:ascii="Liberation Serif" w:hAnsi="Liberation Serif" w:cs="Liberation Serif"/>
        </w:rPr>
        <w:lastRenderedPageBreak/>
        <w:t xml:space="preserve">и уплате НДС может возникнуть лишь при выставлении налогоплательщиком </w:t>
      </w:r>
      <w:r w:rsidR="009C6BCA" w:rsidRPr="00D918F6">
        <w:rPr>
          <w:rFonts w:ascii="Liberation Serif" w:hAnsi="Liberation Serif" w:cs="Liberation Serif"/>
          <w:i/>
        </w:rPr>
        <w:t>ПО СВОЕЙ ИНИЦИАТИВЕ</w:t>
      </w:r>
      <w:r w:rsidR="009C6BCA" w:rsidRPr="00D918F6">
        <w:rPr>
          <w:rFonts w:ascii="Liberation Serif" w:hAnsi="Liberation Serif" w:cs="Liberation Serif"/>
        </w:rPr>
        <w:t xml:space="preserve"> счёта-фактуры с выделенной в нём суммой налога. </w:t>
      </w:r>
    </w:p>
    <w:p w14:paraId="1C7DDF1D" w14:textId="77777777" w:rsidR="009C6BCA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Аналогичная позиция изложена в Постановлении Арбитражного суда Уральского округа от 08.11.2024</w:t>
      </w:r>
      <w:r w:rsidRPr="00E15B7A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 xml:space="preserve">№ </w:t>
      </w:r>
      <w:r w:rsidR="00FB078E">
        <w:rPr>
          <w:rFonts w:ascii="Liberation Serif" w:hAnsi="Liberation Serif" w:cs="Liberation Serif"/>
        </w:rPr>
        <w:t>Ф</w:t>
      </w:r>
      <w:r w:rsidRPr="00D918F6">
        <w:rPr>
          <w:rFonts w:ascii="Liberation Serif" w:hAnsi="Liberation Serif" w:cs="Liberation Serif"/>
        </w:rPr>
        <w:t>09-2280/24.</w:t>
      </w:r>
    </w:p>
    <w:p w14:paraId="23E52CE9" w14:textId="77777777"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Таким образом, в целях правомерного перечисления заказчиком всей суммы контракта подрядной организации, применяющей УСН, в КС-2 и КС-3 должна быть выделена соответствующая сумма НДС.</w:t>
      </w:r>
    </w:p>
    <w:p w14:paraId="29F8A42A" w14:textId="77777777"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При этом для того, чтобы вышеуказанная сумма НДС являлась фактической прибылью подрядчика (то есть без последующей обязанности перечисления указанной суммы в бюджет), подрядчик не должен выставлять счёт-фактуру заказчику.</w:t>
      </w:r>
    </w:p>
    <w:p w14:paraId="42BE979B" w14:textId="77777777" w:rsidR="00FA2E57" w:rsidRPr="00FA2E57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FA2E57">
        <w:rPr>
          <w:rFonts w:ascii="Liberation Serif" w:hAnsi="Liberation Serif" w:cs="Liberation Serif"/>
          <w:i/>
        </w:rPr>
        <w:t>Особенности формирования документов подрядчиками</w:t>
      </w:r>
      <w:r>
        <w:rPr>
          <w:rFonts w:ascii="Liberation Serif" w:hAnsi="Liberation Serif" w:cs="Liberation Serif"/>
          <w:i/>
        </w:rPr>
        <w:t>, применяю</w:t>
      </w:r>
      <w:r w:rsidRPr="00FA2E57">
        <w:rPr>
          <w:rFonts w:ascii="Liberation Serif" w:hAnsi="Liberation Serif" w:cs="Liberation Serif"/>
          <w:i/>
        </w:rPr>
        <w:t>щими УС</w:t>
      </w:r>
      <w:r>
        <w:rPr>
          <w:rFonts w:ascii="Liberation Serif" w:hAnsi="Liberation Serif" w:cs="Liberation Serif"/>
          <w:i/>
        </w:rPr>
        <w:t>Н,</w:t>
      </w:r>
      <w:r w:rsidRPr="00FA2E57">
        <w:rPr>
          <w:rFonts w:ascii="Liberation Serif" w:hAnsi="Liberation Serif" w:cs="Liberation Serif"/>
          <w:i/>
        </w:rPr>
        <w:t xml:space="preserve"> в 2024 и 2025 годах.</w:t>
      </w:r>
    </w:p>
    <w:p w14:paraId="24CADF91" w14:textId="22663282" w:rsidR="007E1ECE" w:rsidRPr="00D918F6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FA2E57">
        <w:rPr>
          <w:rFonts w:ascii="Liberation Serif" w:hAnsi="Liberation Serif" w:cs="Liberation Serif"/>
          <w:b/>
        </w:rPr>
        <w:t>В 2024 году</w:t>
      </w:r>
      <w:r w:rsidRPr="00D918F6">
        <w:rPr>
          <w:rFonts w:ascii="Liberation Serif" w:hAnsi="Liberation Serif" w:cs="Liberation Serif"/>
        </w:rPr>
        <w:t xml:space="preserve"> </w:t>
      </w:r>
      <w:r w:rsidR="00A36AF1" w:rsidRPr="00D918F6">
        <w:rPr>
          <w:rFonts w:ascii="Liberation Serif" w:hAnsi="Liberation Serif" w:cs="Liberation Serif"/>
        </w:rPr>
        <w:t xml:space="preserve">при соблюдении действующего законодательства подрядчик, применяющий УСН, </w:t>
      </w:r>
      <w:r w:rsidR="007E1ECE" w:rsidRPr="00D918F6">
        <w:rPr>
          <w:rFonts w:ascii="Liberation Serif" w:hAnsi="Liberation Serif" w:cs="Liberation Serif"/>
        </w:rPr>
        <w:t>при формировании документов о при</w:t>
      </w:r>
      <w:r w:rsidR="00A36AF1" w:rsidRPr="00D918F6">
        <w:rPr>
          <w:rFonts w:ascii="Liberation Serif" w:hAnsi="Liberation Serif" w:cs="Liberation Serif"/>
        </w:rPr>
        <w:t>ё</w:t>
      </w:r>
      <w:r w:rsidR="007E1ECE" w:rsidRPr="00D918F6">
        <w:rPr>
          <w:rFonts w:ascii="Liberation Serif" w:hAnsi="Liberation Serif" w:cs="Liberation Serif"/>
        </w:rPr>
        <w:t>мке указывает «НДС</w:t>
      </w:r>
      <w:r w:rsidR="00FB078E">
        <w:rPr>
          <w:rFonts w:ascii="Liberation Serif" w:hAnsi="Liberation Serif" w:cs="Liberation Serif"/>
        </w:rPr>
        <w:t> </w:t>
      </w:r>
      <w:r w:rsidR="007E1ECE" w:rsidRPr="00D918F6">
        <w:rPr>
          <w:rFonts w:ascii="Liberation Serif" w:hAnsi="Liberation Serif" w:cs="Liberation Serif"/>
        </w:rPr>
        <w:t>20%», не заменяя его иными к</w:t>
      </w:r>
      <w:r w:rsidR="00192578" w:rsidRPr="00D918F6">
        <w:rPr>
          <w:rFonts w:ascii="Liberation Serif" w:hAnsi="Liberation Serif" w:cs="Liberation Serif"/>
        </w:rPr>
        <w:t>оэффициентами или видом затрат, без выставления заказчику счёта-фактуры.</w:t>
      </w:r>
    </w:p>
    <w:p w14:paraId="15EF7161" w14:textId="77777777"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14:paraId="1DDD5674" w14:textId="77777777" w:rsidR="00192578" w:rsidRPr="00D918F6" w:rsidRDefault="0019257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78E">
        <w:rPr>
          <w:rFonts w:ascii="Liberation Serif" w:hAnsi="Liberation Serif" w:cs="Liberation Serif"/>
          <w:b/>
          <w:sz w:val="28"/>
          <w:szCs w:val="28"/>
        </w:rPr>
        <w:t>С 1 января 2025 года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вступили в силу изменения, внесённые в Налоговый кодекс Российской Федерации, согласно которым подрядчики, применяющие УСН, признаны налогоплательщиками НДС.</w:t>
      </w:r>
    </w:p>
    <w:p w14:paraId="4F4A6D2B" w14:textId="77777777" w:rsidR="00192578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При этом, Налоговым кодексом Российской Федерации предусмотрены </w:t>
      </w:r>
      <w:r w:rsidRPr="00D918F6">
        <w:rPr>
          <w:rFonts w:ascii="Liberation Serif" w:hAnsi="Liberation Serif" w:cs="Liberation Serif"/>
          <w:sz w:val="28"/>
          <w:szCs w:val="28"/>
        </w:rPr>
        <w:br/>
        <w:t>3 варианта работы с НДС.</w:t>
      </w:r>
    </w:p>
    <w:p w14:paraId="754AD9F8" w14:textId="77777777"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398E6A5" w14:textId="77777777"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>Вариант 1 – освобождение от НДС.</w:t>
      </w:r>
    </w:p>
    <w:p w14:paraId="2BD522FB" w14:textId="45AC770C"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Если доходы подрядчика за 2024 год и в течение 2025 года не превысили 60 млн. рублей.</w:t>
      </w:r>
    </w:p>
    <w:p w14:paraId="2AABC543" w14:textId="77777777"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14:paraId="1ABB5929" w14:textId="77777777" w:rsidR="00D571F9" w:rsidRPr="00D918F6" w:rsidRDefault="00FB078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</w:t>
      </w:r>
      <w:r w:rsidR="00872AAA" w:rsidRPr="00D918F6">
        <w:rPr>
          <w:rFonts w:ascii="Liberation Serif" w:hAnsi="Liberation Serif" w:cs="Liberation Serif"/>
        </w:rPr>
        <w:t>подрядчик обязан применять выше</w:t>
      </w:r>
      <w:r>
        <w:rPr>
          <w:rFonts w:ascii="Liberation Serif" w:hAnsi="Liberation Serif" w:cs="Liberation Serif"/>
        </w:rPr>
        <w:t xml:space="preserve">указанную модель – </w:t>
      </w:r>
      <w:r w:rsidR="00D571F9" w:rsidRPr="00D918F6">
        <w:rPr>
          <w:rFonts w:ascii="Liberation Serif" w:hAnsi="Liberation Serif" w:cs="Liberation Serif"/>
        </w:rPr>
        <w:t>при формировании документов о приёмке (КС-2, КС-3) указывается «НДС</w:t>
      </w:r>
      <w:r w:rsidR="00E15B7A">
        <w:rPr>
          <w:rFonts w:ascii="Liberation Serif" w:hAnsi="Liberation Serif" w:cs="Liberation Serif"/>
        </w:rPr>
        <w:t> </w:t>
      </w:r>
      <w:r w:rsidR="00D571F9" w:rsidRPr="00D918F6">
        <w:rPr>
          <w:rFonts w:ascii="Liberation Serif" w:hAnsi="Liberation Serif" w:cs="Liberation Serif"/>
        </w:rPr>
        <w:t>20%», без выставления заказчику счёта-фактуры.</w:t>
      </w:r>
    </w:p>
    <w:p w14:paraId="205827C1" w14:textId="77777777"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F9D0E1" w14:textId="77777777"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Вариант 2 – применение </w:t>
      </w:r>
      <w:r w:rsidR="000D408B">
        <w:rPr>
          <w:rFonts w:ascii="Liberation Serif" w:hAnsi="Liberation Serif" w:cs="Liberation Serif"/>
          <w:sz w:val="28"/>
          <w:szCs w:val="28"/>
          <w:u w:val="single"/>
        </w:rPr>
        <w:t xml:space="preserve">специальных 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ставок НДС (5% и 7%). </w:t>
      </w:r>
    </w:p>
    <w:p w14:paraId="3ACF49AA" w14:textId="77777777"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Если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рублей:</w:t>
      </w:r>
    </w:p>
    <w:p w14:paraId="3D49D766" w14:textId="77777777"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60 до 250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5%;</w:t>
      </w:r>
    </w:p>
    <w:p w14:paraId="54D93952" w14:textId="77777777"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250 до 450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7%.</w:t>
      </w:r>
    </w:p>
    <w:p w14:paraId="2C78F3C1" w14:textId="77777777"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14:paraId="372BFB58" w14:textId="77777777" w:rsidR="00D918F6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D918F6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D918F6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 20%».</w:t>
      </w:r>
    </w:p>
    <w:p w14:paraId="2D563CB5" w14:textId="77777777"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Кроме того, формирует и направляет заказчику счёт</w:t>
      </w:r>
      <w:r w:rsidR="00F4537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фактуру с указанием </w:t>
      </w:r>
      <w:r w:rsidR="000D408B">
        <w:rPr>
          <w:rFonts w:ascii="Liberation Serif" w:hAnsi="Liberation Serif" w:cs="Liberation Serif"/>
          <w:sz w:val="28"/>
          <w:szCs w:val="28"/>
        </w:rPr>
        <w:br/>
      </w:r>
      <w:r w:rsidR="00CF5123">
        <w:rPr>
          <w:rFonts w:ascii="Liberation Serif" w:hAnsi="Liberation Serif" w:cs="Liberation Serif"/>
          <w:sz w:val="28"/>
          <w:szCs w:val="28"/>
        </w:rPr>
        <w:t>в ней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408B">
        <w:rPr>
          <w:rFonts w:ascii="Liberation Serif" w:hAnsi="Liberation Serif" w:cs="Liberation Serif"/>
          <w:sz w:val="28"/>
          <w:szCs w:val="28"/>
        </w:rPr>
        <w:t>специальной ставки НДС</w:t>
      </w:r>
      <w:r w:rsidR="00FB078E">
        <w:rPr>
          <w:rFonts w:ascii="Liberation Serif" w:hAnsi="Liberation Serif" w:cs="Liberation Serif"/>
          <w:sz w:val="28"/>
          <w:szCs w:val="28"/>
        </w:rPr>
        <w:t xml:space="preserve"> (5% или 7%)</w:t>
      </w:r>
      <w:r w:rsidR="000D408B">
        <w:rPr>
          <w:rFonts w:ascii="Liberation Serif" w:hAnsi="Liberation Serif" w:cs="Liberation Serif"/>
          <w:sz w:val="28"/>
          <w:szCs w:val="28"/>
        </w:rPr>
        <w:t>, в зависимости от полученных доходов.</w:t>
      </w:r>
    </w:p>
    <w:p w14:paraId="6063A825" w14:textId="77777777"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367CB7" w14:textId="77777777" w:rsidR="00CF5123" w:rsidRPr="00D918F6" w:rsidRDefault="00CF5123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lastRenderedPageBreak/>
        <w:t>Вариант 3 – применение о</w:t>
      </w:r>
      <w:r w:rsidR="00706FFE">
        <w:rPr>
          <w:rFonts w:ascii="Liberation Serif" w:hAnsi="Liberation Serif" w:cs="Liberation Serif"/>
          <w:sz w:val="28"/>
          <w:szCs w:val="28"/>
          <w:u w:val="single"/>
        </w:rPr>
        <w:t>бщих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 ставок НДС (10% и 20%).</w:t>
      </w:r>
    </w:p>
    <w:p w14:paraId="475B5A30" w14:textId="77777777"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возникновении обязанности исчислять и уплачивать НДС:</w:t>
      </w:r>
    </w:p>
    <w:p w14:paraId="169FB7E2" w14:textId="77777777"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если доходы подрядчика </w:t>
      </w:r>
      <w:r w:rsidRPr="00D918F6">
        <w:rPr>
          <w:rFonts w:ascii="Liberation Serif" w:hAnsi="Liberation Serif" w:cs="Liberation Serif"/>
          <w:sz w:val="28"/>
          <w:szCs w:val="28"/>
        </w:rPr>
        <w:t>за 2024 год и</w:t>
      </w:r>
      <w:r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</w:t>
      </w:r>
      <w:r>
        <w:rPr>
          <w:rFonts w:ascii="Liberation Serif" w:hAnsi="Liberation Serif" w:cs="Liberation Serif"/>
          <w:sz w:val="28"/>
          <w:szCs w:val="28"/>
        </w:rPr>
        <w:t>, при этом подрядчик самостоятельно выбрал применение общих ставок НДС, вместо специальных;</w:t>
      </w:r>
    </w:p>
    <w:p w14:paraId="085E27C8" w14:textId="77777777" w:rsidR="00F4537D" w:rsidRPr="00D918F6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е</w:t>
      </w:r>
      <w:r w:rsidR="00F4537D" w:rsidRPr="00D918F6">
        <w:rPr>
          <w:rFonts w:ascii="Liberation Serif" w:hAnsi="Liberation Serif" w:cs="Liberation Serif"/>
          <w:sz w:val="28"/>
          <w:szCs w:val="28"/>
        </w:rPr>
        <w:t>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</w:t>
      </w:r>
      <w:r w:rsidR="00F4537D">
        <w:rPr>
          <w:rFonts w:ascii="Liberation Serif" w:hAnsi="Liberation Serif" w:cs="Liberation Serif"/>
          <w:sz w:val="28"/>
          <w:szCs w:val="28"/>
        </w:rPr>
        <w:t>превысили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F4537D">
        <w:rPr>
          <w:rFonts w:ascii="Liberation Serif" w:hAnsi="Liberation Serif" w:cs="Liberation Serif"/>
          <w:sz w:val="28"/>
          <w:szCs w:val="28"/>
        </w:rPr>
        <w:br/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450 млн. </w:t>
      </w:r>
      <w:r w:rsidR="00F4537D">
        <w:rPr>
          <w:rFonts w:ascii="Liberation Serif" w:hAnsi="Liberation Serif" w:cs="Liberation Serif"/>
          <w:sz w:val="28"/>
          <w:szCs w:val="28"/>
        </w:rPr>
        <w:t xml:space="preserve">рублей. </w:t>
      </w:r>
    </w:p>
    <w:p w14:paraId="1F28CC7F" w14:textId="77777777" w:rsidR="00012011" w:rsidRPr="00D918F6" w:rsidRDefault="00012011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14:paraId="7B39D762" w14:textId="77777777" w:rsidR="00012011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012011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012011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</w:t>
      </w:r>
      <w:r w:rsidR="00FA2E57">
        <w:rPr>
          <w:rFonts w:ascii="Liberation Serif" w:hAnsi="Liberation Serif" w:cs="Liberation Serif"/>
          <w:sz w:val="28"/>
          <w:szCs w:val="28"/>
        </w:rPr>
        <w:t> </w:t>
      </w:r>
      <w:r w:rsidR="00012011" w:rsidRPr="00D918F6">
        <w:rPr>
          <w:rFonts w:ascii="Liberation Serif" w:hAnsi="Liberation Serif" w:cs="Liberation Serif"/>
          <w:sz w:val="28"/>
          <w:szCs w:val="28"/>
        </w:rPr>
        <w:t>20%»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(или 10%)</w:t>
      </w:r>
      <w:r w:rsidR="00012011" w:rsidRPr="00D918F6">
        <w:rPr>
          <w:rFonts w:ascii="Liberation Serif" w:hAnsi="Liberation Serif" w:cs="Liberation Serif"/>
          <w:sz w:val="28"/>
          <w:szCs w:val="28"/>
        </w:rPr>
        <w:t>.</w:t>
      </w:r>
    </w:p>
    <w:p w14:paraId="7508D418" w14:textId="77777777" w:rsidR="00012011" w:rsidRPr="00706FFE" w:rsidRDefault="00706FFE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012011">
        <w:rPr>
          <w:rFonts w:ascii="Liberation Serif" w:hAnsi="Liberation Serif" w:cs="Liberation Serif"/>
          <w:sz w:val="28"/>
          <w:szCs w:val="28"/>
        </w:rPr>
        <w:t xml:space="preserve">ормирует и направляет заказчику счёт-фактуру с указанием </w:t>
      </w:r>
      <w:r w:rsidR="00012011">
        <w:rPr>
          <w:rFonts w:ascii="Liberation Serif" w:hAnsi="Liberation Serif" w:cs="Liberation Serif"/>
          <w:sz w:val="28"/>
          <w:szCs w:val="28"/>
        </w:rPr>
        <w:br/>
        <w:t xml:space="preserve">в ней </w:t>
      </w:r>
      <w:r>
        <w:rPr>
          <w:rFonts w:ascii="Liberation Serif" w:hAnsi="Liberation Serif" w:cs="Liberation Serif"/>
          <w:sz w:val="28"/>
          <w:szCs w:val="28"/>
        </w:rPr>
        <w:t>общих</w:t>
      </w:r>
      <w:r w:rsidR="00012011">
        <w:rPr>
          <w:rFonts w:ascii="Liberation Serif" w:hAnsi="Liberation Serif" w:cs="Liberation Serif"/>
          <w:sz w:val="28"/>
          <w:szCs w:val="28"/>
        </w:rPr>
        <w:t xml:space="preserve"> став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="00012011">
        <w:rPr>
          <w:rFonts w:ascii="Liberation Serif" w:hAnsi="Liberation Serif" w:cs="Liberation Serif"/>
          <w:sz w:val="28"/>
          <w:szCs w:val="28"/>
        </w:rPr>
        <w:t xml:space="preserve"> НДС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(аналогично правилам </w:t>
      </w:r>
      <w:r>
        <w:rPr>
          <w:rFonts w:ascii="Liberation Serif" w:hAnsi="Liberation Serif" w:cs="Liberation Serif"/>
          <w:i/>
          <w:sz w:val="28"/>
          <w:szCs w:val="28"/>
        </w:rPr>
        <w:t xml:space="preserve">работы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с подрядчиками, применяющими общую систему налогообложения). </w:t>
      </w:r>
    </w:p>
    <w:p w14:paraId="6EBD828B" w14:textId="77777777" w:rsidR="00706FFE" w:rsidRDefault="00706FF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Дополнительно обращаем внимание:</w:t>
      </w:r>
    </w:p>
    <w:p w14:paraId="77460900" w14:textId="77777777"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Министерством финансов Российской Федерации в письме от 21.04.2025 № 03-07-11/39805</w:t>
      </w:r>
      <w:r w:rsidR="00FE3962">
        <w:rPr>
          <w:rFonts w:ascii="Liberation Serif" w:hAnsi="Liberation Serif" w:cs="Liberation Serif"/>
          <w:sz w:val="28"/>
          <w:szCs w:val="28"/>
        </w:rPr>
        <w:t xml:space="preserve"> доведена позиция по следующим </w:t>
      </w:r>
      <w:r w:rsidR="00532133">
        <w:rPr>
          <w:rFonts w:ascii="Liberation Serif" w:hAnsi="Liberation Serif" w:cs="Liberation Serif"/>
          <w:sz w:val="28"/>
          <w:szCs w:val="28"/>
        </w:rPr>
        <w:t>направлениям:</w:t>
      </w:r>
    </w:p>
    <w:p w14:paraId="54D4449A" w14:textId="77777777" w:rsidR="00532133" w:rsidRP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532133">
        <w:rPr>
          <w:rFonts w:ascii="Liberation Serif" w:hAnsi="Liberation Serif" w:cs="Liberation Serif"/>
          <w:sz w:val="28"/>
          <w:szCs w:val="28"/>
        </w:rPr>
        <w:t>в контракт должны быть включены обязательные условия, предусмотренные соответствующими типовыми условиями контрактов</w:t>
      </w:r>
      <w:r w:rsidR="00690B0D">
        <w:rPr>
          <w:rStyle w:val="a7"/>
          <w:rFonts w:ascii="Liberation Serif" w:hAnsi="Liberation Serif" w:cs="Liberation Serif"/>
          <w:sz w:val="28"/>
          <w:szCs w:val="28"/>
        </w:rPr>
        <w:footnoteReference w:id="7"/>
      </w:r>
      <w:r w:rsidRPr="00532133">
        <w:rPr>
          <w:rFonts w:ascii="Liberation Serif" w:hAnsi="Liberation Serif" w:cs="Liberation Serif"/>
          <w:sz w:val="28"/>
          <w:szCs w:val="28"/>
        </w:rPr>
        <w:t>, в том числе касающиеся указания цены контракта с уч</w:t>
      </w:r>
      <w:r>
        <w:rPr>
          <w:rFonts w:ascii="Liberation Serif" w:hAnsi="Liberation Serif" w:cs="Liberation Serif"/>
          <w:sz w:val="28"/>
          <w:szCs w:val="28"/>
        </w:rPr>
        <w:t>ё</w:t>
      </w:r>
      <w:r w:rsidRPr="00532133">
        <w:rPr>
          <w:rFonts w:ascii="Liberation Serif" w:hAnsi="Liberation Serif" w:cs="Liberation Serif"/>
          <w:sz w:val="28"/>
          <w:szCs w:val="28"/>
        </w:rPr>
        <w:t>том пред</w:t>
      </w:r>
      <w:r>
        <w:rPr>
          <w:rFonts w:ascii="Liberation Serif" w:hAnsi="Liberation Serif" w:cs="Liberation Serif"/>
          <w:sz w:val="28"/>
          <w:szCs w:val="28"/>
        </w:rPr>
        <w:t>усмотренной в них вариативности;</w:t>
      </w:r>
    </w:p>
    <w:p w14:paraId="6E58AEAB" w14:textId="77777777" w:rsid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с</w:t>
      </w:r>
      <w:r w:rsidRPr="00532133">
        <w:rPr>
          <w:rFonts w:ascii="Liberation Serif" w:hAnsi="Liberation Serif" w:cs="Liberation Serif"/>
          <w:sz w:val="28"/>
          <w:szCs w:val="28"/>
        </w:rPr>
        <w:t>тавка НДС не является существенным условием контракта и может быть изменена путем заключения дополнительного соглашения без изменения цены контракта.</w:t>
      </w:r>
    </w:p>
    <w:p w14:paraId="5B31D772" w14:textId="77777777" w:rsidR="00706FFE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D77C5">
        <w:rPr>
          <w:rFonts w:ascii="Liberation Serif" w:hAnsi="Liberation Serif" w:cs="Liberation Serif"/>
          <w:sz w:val="28"/>
          <w:szCs w:val="28"/>
        </w:rPr>
        <w:t>. П</w:t>
      </w:r>
      <w:r w:rsidR="00CF45EC">
        <w:rPr>
          <w:rFonts w:ascii="Liberation Serif" w:hAnsi="Liberation Serif" w:cs="Liberation Serif"/>
          <w:sz w:val="28"/>
          <w:szCs w:val="28"/>
        </w:rPr>
        <w:t xml:space="preserve">одрядчик </w:t>
      </w:r>
      <w:r w:rsidR="00F666B5">
        <w:rPr>
          <w:rFonts w:ascii="Liberation Serif" w:hAnsi="Liberation Serif" w:cs="Liberation Serif"/>
          <w:sz w:val="28"/>
          <w:szCs w:val="28"/>
        </w:rPr>
        <w:t>информир</w:t>
      </w:r>
      <w:r w:rsidR="00CF45EC">
        <w:rPr>
          <w:rFonts w:ascii="Liberation Serif" w:hAnsi="Liberation Serif" w:cs="Liberation Serif"/>
          <w:sz w:val="28"/>
          <w:szCs w:val="28"/>
        </w:rPr>
        <w:t>ует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заказчика об освобождении от уплаты НДС ил</w:t>
      </w:r>
      <w:r>
        <w:rPr>
          <w:rFonts w:ascii="Liberation Serif" w:hAnsi="Liberation Serif" w:cs="Liberation Serif"/>
          <w:sz w:val="28"/>
          <w:szCs w:val="28"/>
        </w:rPr>
        <w:t>и применения специальных ставок.</w:t>
      </w:r>
    </w:p>
    <w:p w14:paraId="22231E09" w14:textId="77777777" w:rsidR="00F666B5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</w:t>
      </w:r>
      <w:r w:rsidR="004836C1">
        <w:rPr>
          <w:rFonts w:ascii="Liberation Serif" w:hAnsi="Liberation Serif" w:cs="Liberation Serif"/>
          <w:sz w:val="28"/>
          <w:szCs w:val="28"/>
        </w:rPr>
        <w:t>бязанность исчислять и уплачивать НДС</w:t>
      </w:r>
      <w:r w:rsidR="00BB38D5">
        <w:rPr>
          <w:rFonts w:ascii="Liberation Serif" w:hAnsi="Liberation Serif" w:cs="Liberation Serif"/>
          <w:sz w:val="28"/>
          <w:szCs w:val="28"/>
        </w:rPr>
        <w:t>,</w:t>
      </w:r>
      <w:r w:rsidR="004836C1">
        <w:rPr>
          <w:rFonts w:ascii="Liberation Serif" w:hAnsi="Liberation Serif" w:cs="Liberation Serif"/>
          <w:sz w:val="28"/>
          <w:szCs w:val="28"/>
        </w:rPr>
        <w:t xml:space="preserve"> </w:t>
      </w:r>
      <w:r w:rsidR="00BB38D5">
        <w:rPr>
          <w:rFonts w:ascii="Liberation Serif" w:hAnsi="Liberation Serif" w:cs="Liberation Serif"/>
          <w:sz w:val="28"/>
          <w:szCs w:val="28"/>
        </w:rPr>
        <w:t xml:space="preserve">возникшая </w:t>
      </w:r>
      <w:r w:rsidR="00837980">
        <w:rPr>
          <w:rFonts w:ascii="Liberation Serif" w:hAnsi="Liberation Serif" w:cs="Liberation Serif"/>
          <w:sz w:val="28"/>
          <w:szCs w:val="28"/>
        </w:rPr>
        <w:t xml:space="preserve">в период исполнения контракта </w:t>
      </w:r>
      <w:r w:rsidR="00BB38D5">
        <w:rPr>
          <w:rFonts w:ascii="Liberation Serif" w:hAnsi="Liberation Serif" w:cs="Liberation Serif"/>
          <w:sz w:val="28"/>
          <w:szCs w:val="28"/>
        </w:rPr>
        <w:t xml:space="preserve">у </w:t>
      </w:r>
      <w:r w:rsidR="004836C1">
        <w:rPr>
          <w:rFonts w:ascii="Liberation Serif" w:hAnsi="Liberation Serif" w:cs="Liberation Serif"/>
          <w:sz w:val="28"/>
          <w:szCs w:val="28"/>
        </w:rPr>
        <w:t>подрядчика, применяющего УСН,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не является основанием для увеличени</w:t>
      </w:r>
      <w:r w:rsidR="00FB078E">
        <w:rPr>
          <w:rFonts w:ascii="Liberation Serif" w:hAnsi="Liberation Serif" w:cs="Liberation Serif"/>
          <w:sz w:val="28"/>
          <w:szCs w:val="28"/>
        </w:rPr>
        <w:t>я</w:t>
      </w:r>
      <w:r w:rsidR="00F666B5">
        <w:rPr>
          <w:rFonts w:ascii="Liberation Serif" w:hAnsi="Liberation Serif" w:cs="Liberation Serif"/>
          <w:sz w:val="28"/>
          <w:szCs w:val="28"/>
        </w:rPr>
        <w:t xml:space="preserve"> цены контракта;</w:t>
      </w:r>
    </w:p>
    <w:p w14:paraId="38440F25" w14:textId="77777777" w:rsidR="00D918F6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П</w:t>
      </w:r>
      <w:r w:rsidR="00706FFE" w:rsidRPr="00706FFE">
        <w:rPr>
          <w:rFonts w:ascii="Liberation Serif" w:hAnsi="Liberation Serif" w:cs="Liberation Serif"/>
          <w:sz w:val="28"/>
          <w:szCs w:val="28"/>
        </w:rPr>
        <w:t xml:space="preserve">одробно вопросы применения НДС плательщиками УСН отражены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в Методических рекомендациях ФНС России (письмо от 17.10.2024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="00F666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СД-4-3/11815@</w:t>
      </w:r>
      <w:r w:rsidR="001F0345">
        <w:rPr>
          <w:rFonts w:ascii="Liberation Serif" w:hAnsi="Liberation Serif" w:cs="Liberation Serif"/>
          <w:sz w:val="28"/>
          <w:szCs w:val="28"/>
        </w:rPr>
        <w:t>);</w:t>
      </w:r>
    </w:p>
    <w:p w14:paraId="2605CA0C" w14:textId="1BEE793D" w:rsidR="00955AC3" w:rsidRDefault="00FE3962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5. В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>опрос</w:t>
      </w:r>
      <w:r w:rsidR="00BC799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формирования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универсального передаточного документа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br/>
        <w:t>в 2025 году при УСН по гос</w:t>
      </w:r>
      <w:r w:rsidR="00F758EA">
        <w:rPr>
          <w:rFonts w:ascii="Liberation Serif" w:hAnsi="Liberation Serif" w:cs="Liberation Serif"/>
          <w:color w:val="212121"/>
          <w:sz w:val="28"/>
          <w:szCs w:val="28"/>
        </w:rPr>
        <w:t xml:space="preserve">ударственному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контракту, если работы выполнены (оказаны услуги) в 2024 году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,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отражён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в письме 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>Минфина России от 20.11.2024</w:t>
      </w:r>
      <w:r w:rsidR="002277DD" w:rsidRPr="002277DD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№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03-07-11/115196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.</w:t>
      </w:r>
    </w:p>
    <w:sectPr w:rsidR="00955AC3" w:rsidSect="00532133">
      <w:headerReference w:type="default" r:id="rId7"/>
      <w:pgSz w:w="11906" w:h="16838" w:code="9"/>
      <w:pgMar w:top="737" w:right="567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DB74" w14:textId="77777777" w:rsidR="00C72E38" w:rsidRDefault="00C72E38">
      <w:r>
        <w:separator/>
      </w:r>
    </w:p>
  </w:endnote>
  <w:endnote w:type="continuationSeparator" w:id="0">
    <w:p w14:paraId="17BC7AD1" w14:textId="77777777" w:rsidR="00C72E38" w:rsidRDefault="00C7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734C" w14:textId="77777777" w:rsidR="00C72E38" w:rsidRDefault="00C72E38">
      <w:r>
        <w:separator/>
      </w:r>
    </w:p>
  </w:footnote>
  <w:footnote w:type="continuationSeparator" w:id="0">
    <w:p w14:paraId="7389CC1C" w14:textId="77777777" w:rsidR="00C72E38" w:rsidRDefault="00C72E38">
      <w:r>
        <w:continuationSeparator/>
      </w:r>
    </w:p>
  </w:footnote>
  <w:footnote w:id="1">
    <w:p w14:paraId="251A1F20" w14:textId="77777777" w:rsidR="00FE3962" w:rsidRPr="00FE3962" w:rsidRDefault="00FE3962" w:rsidP="00DF2BFF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Градостроительный кодекс Российской Федерации, приказ Минстроя России от 04.08.2020 № 421/пр </w:t>
      </w:r>
      <w:r w:rsidRPr="00FE3962">
        <w:rPr>
          <w:rFonts w:ascii="Liberation Serif" w:hAnsi="Liberation Serif" w:cs="Liberation Serif"/>
          <w:sz w:val="22"/>
          <w:szCs w:val="22"/>
        </w:rPr>
        <w:br/>
        <w:t>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Федерации».</w:t>
      </w:r>
    </w:p>
  </w:footnote>
  <w:footnote w:id="2">
    <w:p w14:paraId="7628CA0A" w14:textId="77777777"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Определения ВС РФ от 01.10.2015 № 303-ЭС15-11466, от 15.11.2017 № 308-ЭС17-13912, от 08.02.2021 </w:t>
      </w:r>
      <w:r w:rsidRPr="00FE3962">
        <w:rPr>
          <w:rFonts w:ascii="Liberation Serif" w:hAnsi="Liberation Serif" w:cs="Liberation Serif"/>
          <w:sz w:val="22"/>
          <w:szCs w:val="22"/>
        </w:rPr>
        <w:br/>
        <w:t>№ 305-ЭС20-18251, от 08.06.2022 № 303-ЭС22-7854; пункт 41 Обзора судебной практики ВС РФ № 3 (2019); постановления Арбитражного суда Уральского округа: от 07.10.2024 № Ф09-5248/24, от 20.09.2019 № Ф09-6100/19 (и другие).</w:t>
      </w:r>
    </w:p>
  </w:footnote>
  <w:footnote w:id="3">
    <w:p w14:paraId="15DBE369" w14:textId="77777777"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Письма: от 15.05.2019 № 24-01-07/34829, от 12.05.2020 № 24-01-08/38165, от 15.08.2022 № 03-07-11/79299, от 14.03.2023 № 24-06-06/21248, от 23.12.2024 № 24-06-09/129836 (и другие).</w:t>
      </w:r>
    </w:p>
  </w:footnote>
  <w:footnote w:id="4">
    <w:p w14:paraId="2FAFFDB3" w14:textId="77777777"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Определение ВС РФ от 11.08.2022 № 309-ЭС22-9696, постановления Семнадцатого арбитражного апелляционного суда от 27.12.2024 по делу № А60-37117/2024, № А60-71084/2024 (и другие).</w:t>
      </w:r>
    </w:p>
  </w:footnote>
  <w:footnote w:id="5">
    <w:p w14:paraId="0DA48B9B" w14:textId="77777777"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Письма: от 19.03.2024 № 03-07-11/24203, от 10.12.2021 № 03-07-11/100707, от 01.08.2019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 xml:space="preserve">№ 03-07-09/57945, от 16.07.2019 № 03-07-09/52435, от 20.02.2018 № 03-07-11/50590, от 11.01.2018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>№ 03-07-14/328, от 21.04.2016 № 03-11-11/22923.</w:t>
      </w:r>
    </w:p>
  </w:footnote>
  <w:footnote w:id="6">
    <w:p w14:paraId="7C8C6909" w14:textId="77777777" w:rsidR="00FE3962" w:rsidRPr="00FE3962" w:rsidRDefault="00FE3962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Письмо от 01.10.2024 № 57284-АВ/09.</w:t>
      </w:r>
    </w:p>
  </w:footnote>
  <w:footnote w:id="7">
    <w:p w14:paraId="31A67329" w14:textId="77777777" w:rsidR="00690B0D" w:rsidRDefault="00690B0D">
      <w:pPr>
        <w:pStyle w:val="a5"/>
      </w:pPr>
      <w:r>
        <w:rPr>
          <w:rStyle w:val="a7"/>
        </w:rPr>
        <w:footnoteRef/>
      </w:r>
      <w:r>
        <w:t xml:space="preserve"> Ч</w:t>
      </w:r>
      <w:r w:rsidRPr="00690B0D">
        <w:t>аст</w:t>
      </w:r>
      <w:r>
        <w:t>ь</w:t>
      </w:r>
      <w:r w:rsidRPr="00690B0D">
        <w:t xml:space="preserve"> 11 статьи 34 </w:t>
      </w:r>
      <w:r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>
        <w:rPr>
          <w:rFonts w:ascii="Liberation Serif" w:eastAsiaTheme="minorHAnsi" w:hAnsi="Liberation Serif" w:cs="Liberation Serif"/>
          <w:lang w:eastAsia="en-US"/>
        </w:rPr>
        <w:t> </w:t>
      </w:r>
      <w:r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</w:t>
      </w:r>
      <w:r>
        <w:rPr>
          <w:rFonts w:ascii="Liberation Serif" w:eastAsiaTheme="minorHAnsi" w:hAnsi="Liberation Serif" w:cs="Liberation Serif"/>
          <w:lang w:eastAsia="en-US"/>
        </w:rPr>
        <w:t>рственных и муниципальных нужд».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3559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4222C983" w14:textId="301DFF22" w:rsidR="00FE3962" w:rsidRPr="00CF07E7" w:rsidRDefault="00FE3962" w:rsidP="00E15B7A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CF07E7">
          <w:rPr>
            <w:rFonts w:ascii="Liberation Serif" w:hAnsi="Liberation Serif"/>
            <w:sz w:val="28"/>
            <w:szCs w:val="28"/>
          </w:rPr>
          <w:fldChar w:fldCharType="begin"/>
        </w:r>
        <w:r w:rsidRPr="00CF07E7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CF07E7">
          <w:rPr>
            <w:rFonts w:ascii="Liberation Serif" w:hAnsi="Liberation Serif"/>
            <w:sz w:val="28"/>
            <w:szCs w:val="28"/>
          </w:rPr>
          <w:fldChar w:fldCharType="separate"/>
        </w:r>
        <w:r w:rsidR="00EC0EA7">
          <w:rPr>
            <w:rFonts w:ascii="Liberation Serif" w:hAnsi="Liberation Serif"/>
            <w:noProof/>
            <w:sz w:val="28"/>
            <w:szCs w:val="28"/>
          </w:rPr>
          <w:t>2</w:t>
        </w:r>
        <w:r w:rsidRPr="00CF07E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F"/>
    <w:rsid w:val="00012011"/>
    <w:rsid w:val="00080803"/>
    <w:rsid w:val="000D408B"/>
    <w:rsid w:val="00153087"/>
    <w:rsid w:val="0016371D"/>
    <w:rsid w:val="001808D8"/>
    <w:rsid w:val="00192578"/>
    <w:rsid w:val="001F0345"/>
    <w:rsid w:val="002277DD"/>
    <w:rsid w:val="002859CF"/>
    <w:rsid w:val="00292F4C"/>
    <w:rsid w:val="002C49FA"/>
    <w:rsid w:val="00300DF2"/>
    <w:rsid w:val="00335B9F"/>
    <w:rsid w:val="00383C0A"/>
    <w:rsid w:val="003B0BBF"/>
    <w:rsid w:val="00403DDC"/>
    <w:rsid w:val="004351D1"/>
    <w:rsid w:val="004836C1"/>
    <w:rsid w:val="004950BF"/>
    <w:rsid w:val="004D77C5"/>
    <w:rsid w:val="004F05ED"/>
    <w:rsid w:val="00507CAB"/>
    <w:rsid w:val="00532133"/>
    <w:rsid w:val="00554784"/>
    <w:rsid w:val="005726EB"/>
    <w:rsid w:val="00653DA6"/>
    <w:rsid w:val="00690B0D"/>
    <w:rsid w:val="00706FFE"/>
    <w:rsid w:val="00751559"/>
    <w:rsid w:val="007C4434"/>
    <w:rsid w:val="007E1ECE"/>
    <w:rsid w:val="00837980"/>
    <w:rsid w:val="008652CA"/>
    <w:rsid w:val="00872AAA"/>
    <w:rsid w:val="009457F3"/>
    <w:rsid w:val="00955AC3"/>
    <w:rsid w:val="00972299"/>
    <w:rsid w:val="009B02FF"/>
    <w:rsid w:val="009B05BB"/>
    <w:rsid w:val="009C6BCA"/>
    <w:rsid w:val="00A10A2F"/>
    <w:rsid w:val="00A36AF1"/>
    <w:rsid w:val="00AD4B07"/>
    <w:rsid w:val="00BB38D5"/>
    <w:rsid w:val="00BC4E83"/>
    <w:rsid w:val="00BC7993"/>
    <w:rsid w:val="00BE54E3"/>
    <w:rsid w:val="00C24A85"/>
    <w:rsid w:val="00C431A4"/>
    <w:rsid w:val="00C72E38"/>
    <w:rsid w:val="00CD5A77"/>
    <w:rsid w:val="00CF45EC"/>
    <w:rsid w:val="00CF47DA"/>
    <w:rsid w:val="00CF5123"/>
    <w:rsid w:val="00D16881"/>
    <w:rsid w:val="00D571F9"/>
    <w:rsid w:val="00D918F6"/>
    <w:rsid w:val="00DB2465"/>
    <w:rsid w:val="00DE02E4"/>
    <w:rsid w:val="00DF2BFF"/>
    <w:rsid w:val="00E15B7A"/>
    <w:rsid w:val="00E3067B"/>
    <w:rsid w:val="00EC0EA7"/>
    <w:rsid w:val="00F36CD9"/>
    <w:rsid w:val="00F4537D"/>
    <w:rsid w:val="00F666B5"/>
    <w:rsid w:val="00F758EA"/>
    <w:rsid w:val="00F76C61"/>
    <w:rsid w:val="00FA2E57"/>
    <w:rsid w:val="00FB078E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ED58"/>
  <w15:docId w15:val="{234EF3B7-F7E7-4D9B-A2C7-B72F0A1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Красная строка1"/>
    <w:basedOn w:val="a"/>
    <w:rsid w:val="00A10A2F"/>
    <w:pPr>
      <w:spacing w:after="120"/>
      <w:ind w:firstLine="210"/>
    </w:pPr>
    <w:rPr>
      <w:sz w:val="28"/>
    </w:rPr>
  </w:style>
  <w:style w:type="character" w:customStyle="1" w:styleId="cardmaininfocontent">
    <w:name w:val="cardmaininfo__content"/>
    <w:rsid w:val="00A10A2F"/>
  </w:style>
  <w:style w:type="paragraph" w:styleId="a3">
    <w:name w:val="header"/>
    <w:basedOn w:val="a"/>
    <w:link w:val="a4"/>
    <w:uiPriority w:val="99"/>
    <w:unhideWhenUsed/>
    <w:rsid w:val="00A1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F2BFF"/>
  </w:style>
  <w:style w:type="character" w:customStyle="1" w:styleId="a6">
    <w:name w:val="Текст сноски Знак"/>
    <w:basedOn w:val="a0"/>
    <w:link w:val="a5"/>
    <w:uiPriority w:val="99"/>
    <w:semiHidden/>
    <w:rsid w:val="00DF2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2B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msonormal">
    <w:name w:val="x_msonormal"/>
    <w:basedOn w:val="a"/>
    <w:rsid w:val="00BC7993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3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F363-70DE-4BFC-A61E-A34CF570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kazakdv</dc:creator>
  <cp:lastModifiedBy>Пользователь Windows</cp:lastModifiedBy>
  <cp:revision>19</cp:revision>
  <cp:lastPrinted>2025-07-11T09:49:00Z</cp:lastPrinted>
  <dcterms:created xsi:type="dcterms:W3CDTF">2025-01-21T11:14:00Z</dcterms:created>
  <dcterms:modified xsi:type="dcterms:W3CDTF">2025-07-18T08:24:00Z</dcterms:modified>
</cp:coreProperties>
</file>